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#103-e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R1-2007923</w:t>
      </w:r>
    </w:p>
    <w:p>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 xml:space="preserve">e-Meeting, </w:t>
      </w:r>
      <w:r>
        <w:rPr>
          <w:rFonts w:hint="eastAsia" w:ascii="Arial" w:hAnsi="Arial" w:cs="Arial"/>
          <w:b/>
          <w:bCs/>
          <w:sz w:val="22"/>
          <w:szCs w:val="22"/>
        </w:rPr>
        <w:t>October 26</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lang w:eastAsia="ja-JP"/>
        </w:rPr>
        <w:t>November</w:t>
      </w:r>
      <w:r>
        <w:rPr>
          <w:rFonts w:hint="eastAsia" w:ascii="Arial" w:hAnsi="Arial" w:cs="Arial"/>
          <w:b/>
          <w:bCs/>
          <w:sz w:val="22"/>
          <w:szCs w:val="22"/>
        </w:rPr>
        <w:t xml:space="preserve"> 13</w:t>
      </w:r>
      <w:r>
        <w:rPr>
          <w:rFonts w:ascii="Arial" w:hAnsi="Arial" w:cs="Arial"/>
          <w:b/>
          <w:bCs/>
          <w:sz w:val="22"/>
          <w:szCs w:val="22"/>
          <w:vertAlign w:val="superscript"/>
          <w:lang w:eastAsia="ja-JP"/>
        </w:rPr>
        <w:t>th</w:t>
      </w:r>
      <w:r>
        <w:rPr>
          <w:rFonts w:ascii="Arial" w:hAnsi="Arial" w:cs="Arial"/>
          <w:b/>
          <w:bCs/>
          <w:sz w:val="22"/>
          <w:szCs w:val="22"/>
          <w:lang w:eastAsia="ja-JP"/>
        </w:rPr>
        <w:t>, 2020</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 xml:space="preserve">Remaining issues </w:t>
      </w:r>
      <w:r>
        <w:rPr>
          <w:rFonts w:hint="eastAsia" w:ascii="Arial" w:hAnsi="Arial"/>
          <w:b/>
          <w:sz w:val="22"/>
          <w:szCs w:val="22"/>
          <w:lang w:val="en-US" w:eastAsia="zh-CN"/>
        </w:rPr>
        <w:t xml:space="preserve">in </w:t>
      </w:r>
      <w:r>
        <w:rPr>
          <w:rFonts w:hint="eastAsia" w:ascii="Arial" w:hAnsi="Arial"/>
          <w:b/>
          <w:sz w:val="22"/>
          <w:szCs w:val="22"/>
        </w:rPr>
        <w:t>mode 2</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Sanechips</w:t>
      </w:r>
    </w:p>
    <w:p>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7.2.4</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240" w:afterLines="100" w:line="260" w:lineRule="auto"/>
        <w:rPr>
          <w:sz w:val="20"/>
          <w:szCs w:val="22"/>
        </w:rPr>
      </w:pPr>
      <w:r>
        <w:rPr>
          <w:rFonts w:hint="eastAsia"/>
          <w:sz w:val="20"/>
          <w:szCs w:val="22"/>
        </w:rPr>
        <w:t xml:space="preserve">In this contribution, we will discuss some </w:t>
      </w:r>
      <w:r>
        <w:rPr>
          <w:rFonts w:hint="eastAsia"/>
          <w:sz w:val="20"/>
          <w:szCs w:val="22"/>
          <w:lang w:val="en-US" w:eastAsia="zh-CN"/>
        </w:rPr>
        <w:t xml:space="preserve">remaining </w:t>
      </w:r>
      <w:r>
        <w:rPr>
          <w:rFonts w:hint="eastAsia"/>
          <w:sz w:val="20"/>
          <w:szCs w:val="22"/>
        </w:rPr>
        <w:t xml:space="preserve">issues of mode 2 resource allocation. Based on this, </w:t>
      </w:r>
      <w:r>
        <w:rPr>
          <w:rFonts w:hint="eastAsia"/>
          <w:sz w:val="20"/>
          <w:szCs w:val="22"/>
          <w:lang w:val="en-US" w:eastAsia="zh-CN"/>
        </w:rPr>
        <w:t xml:space="preserve">some proposals and corresponding text proposals are provided. </w:t>
      </w:r>
    </w:p>
    <w:p>
      <w:pPr>
        <w:pStyle w:val="2"/>
        <w:spacing w:before="120" w:after="120"/>
        <w:ind w:left="0"/>
      </w:pPr>
      <w:r>
        <w:rPr>
          <w:rFonts w:hint="eastAsia"/>
        </w:rPr>
        <w:t>Discussion</w:t>
      </w:r>
      <w:r>
        <w:t>s</w:t>
      </w:r>
      <w:r>
        <w:rPr>
          <w:rFonts w:hint="eastAsia"/>
        </w:rPr>
        <w:t xml:space="preserve"> </w:t>
      </w:r>
    </w:p>
    <w:p>
      <w:pPr>
        <w:pStyle w:val="3"/>
        <w:spacing w:before="120" w:after="120" w:line="259" w:lineRule="auto"/>
        <w:ind w:left="991" w:right="210" w:hanging="991" w:hangingChars="354"/>
      </w:pPr>
      <w:r>
        <w:rPr>
          <w:rFonts w:hint="eastAsia" w:eastAsia="宋体"/>
          <w:szCs w:val="22"/>
        </w:rPr>
        <w:t>Description of pre-emption and re-evaluation</w:t>
      </w:r>
    </w:p>
    <w:p>
      <w:pPr>
        <w:spacing w:before="120" w:after="120" w:line="259" w:lineRule="auto"/>
        <w:rPr>
          <w:sz w:val="20"/>
        </w:rPr>
      </w:pPr>
      <w:r>
        <w:rPr>
          <w:rFonts w:hint="eastAsia"/>
          <w:sz w:val="20"/>
          <w:szCs w:val="22"/>
        </w:rPr>
        <w:t xml:space="preserve">In the section 8.1.4 of 38.214, it is described that the higher layer provides a set of resources </w:t>
      </w:r>
      <m:oMath>
        <m:r>
          <m:rPr>
            <m:sty m:val="p"/>
          </m:rPr>
          <w:rPr>
            <w:rFonts w:hint="eastAsia" w:ascii="Cambria Math" w:hAnsi="Cambria Math"/>
            <w:sz w:val="20"/>
            <w:szCs w:val="22"/>
          </w:rPr>
          <m:t>(</m:t>
        </m:r>
        <m:sSub>
          <m:sSubPr>
            <m:ctrlPr>
              <w:rPr>
                <w:rFonts w:hint="eastAsia" w:ascii="Cambria Math" w:hAnsi="Cambria Math"/>
                <w:sz w:val="20"/>
                <w:szCs w:val="22"/>
              </w:rPr>
            </m:ctrlPr>
          </m:sSub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0</m:t>
            </m:r>
            <m:ctrlPr>
              <w:rPr>
                <w:rFonts w:hint="eastAsia" w:ascii="Cambria Math" w:hAnsi="Cambria Math"/>
                <w:sz w:val="20"/>
                <w:szCs w:val="22"/>
              </w:rPr>
            </m:ctrlPr>
          </m:sub>
        </m:sSub>
        <m:r>
          <m:rPr>
            <m:sty m:val="p"/>
          </m:rPr>
          <w:rPr>
            <w:rFonts w:hint="eastAsia" w:ascii="Cambria Math" w:hAnsi="Cambria Math"/>
            <w:sz w:val="20"/>
            <w:szCs w:val="22"/>
          </w:rPr>
          <m:t>,</m:t>
        </m:r>
        <m:sSub>
          <m:sSubPr>
            <m:ctrlPr>
              <w:rPr>
                <w:rFonts w:hint="eastAsia" w:ascii="Cambria Math" w:hAnsi="Cambria Math"/>
                <w:sz w:val="20"/>
                <w:szCs w:val="22"/>
              </w:rPr>
            </m:ctrlPr>
          </m:sSub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1</m:t>
            </m:r>
            <m:ctrlPr>
              <w:rPr>
                <w:rFonts w:hint="eastAsia" w:ascii="Cambria Math" w:hAnsi="Cambria Math"/>
                <w:sz w:val="20"/>
                <w:szCs w:val="22"/>
              </w:rPr>
            </m:ctrlPr>
          </m:sub>
        </m:sSub>
        <m:r>
          <m:rPr>
            <m:sty m:val="p"/>
          </m:rPr>
          <w:rPr>
            <w:rFonts w:hint="eastAsia" w:ascii="Cambria Math" w:hAnsi="Cambria Math"/>
            <w:sz w:val="20"/>
            <w:szCs w:val="22"/>
          </w:rPr>
          <m:t>,</m:t>
        </m:r>
        <m:sSub>
          <m:sSubPr>
            <m:ctrlPr>
              <w:rPr>
                <w:rFonts w:hint="eastAsia" w:ascii="Cambria Math" w:hAnsi="Cambria Math"/>
                <w:sz w:val="20"/>
                <w:szCs w:val="22"/>
              </w:rPr>
            </m:ctrlPr>
          </m:sSub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2</m:t>
            </m:r>
            <m:ctrlPr>
              <w:rPr>
                <w:rFonts w:hint="eastAsia" w:ascii="Cambria Math" w:hAnsi="Cambria Math"/>
                <w:sz w:val="20"/>
                <w:szCs w:val="22"/>
              </w:rPr>
            </m:ctrlPr>
          </m:sub>
        </m:sSub>
        <m:r>
          <m:rPr>
            <m:sty m:val="p"/>
          </m:rPr>
          <w:rPr>
            <w:rFonts w:hint="eastAsia" w:ascii="Cambria Math" w:hAnsi="Cambria Math"/>
            <w:sz w:val="20"/>
            <w:szCs w:val="22"/>
          </w:rPr>
          <m:t xml:space="preserve">,…) </m:t>
        </m:r>
      </m:oMath>
      <w:r>
        <w:rPr>
          <w:rFonts w:hint="eastAsia"/>
          <w:sz w:val="20"/>
          <w:szCs w:val="22"/>
        </w:rPr>
        <w:t xml:space="preserve">which may be subject to re-evaluation and a set of resources </w:t>
      </w:r>
      <m:oMath>
        <m:r>
          <m:rPr>
            <m:sty m:val="p"/>
          </m:rPr>
          <w:rPr>
            <w:rFonts w:hint="eastAsia" w:ascii="Cambria Math" w:hAnsi="Cambria Math"/>
            <w:sz w:val="20"/>
            <w:szCs w:val="22"/>
          </w:rPr>
          <m:t>(</m:t>
        </m:r>
        <m:sSubSup>
          <m:sSubSupPr>
            <m:ctrlPr>
              <w:rPr>
                <w:rFonts w:hint="eastAsia" w:ascii="Cambria Math" w:hAnsi="Cambria Math"/>
                <w:sz w:val="20"/>
                <w:szCs w:val="22"/>
              </w:rPr>
            </m:ctrlPr>
          </m:sSubSup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0</m:t>
            </m:r>
            <m:ctrlPr>
              <w:rPr>
                <w:rFonts w:hint="eastAsia" w:ascii="Cambria Math" w:hAnsi="Cambria Math"/>
                <w:sz w:val="20"/>
                <w:szCs w:val="22"/>
              </w:rPr>
            </m:ctrlPr>
          </m:sub>
          <m:sup>
            <m:r>
              <m:rPr>
                <m:sty m:val="p"/>
              </m:rPr>
              <w:rPr>
                <w:rFonts w:hint="eastAsia" w:ascii="Cambria Math" w:hAnsi="Cambria Math"/>
                <w:sz w:val="20"/>
                <w:szCs w:val="22"/>
              </w:rPr>
              <m:t>'</m:t>
            </m:r>
            <m:ctrlPr>
              <w:rPr>
                <w:rFonts w:hint="eastAsia" w:ascii="Cambria Math" w:hAnsi="Cambria Math"/>
                <w:sz w:val="20"/>
                <w:szCs w:val="22"/>
              </w:rPr>
            </m:ctrlPr>
          </m:sup>
        </m:sSubSup>
        <m:r>
          <m:rPr>
            <m:sty m:val="p"/>
          </m:rPr>
          <w:rPr>
            <w:rFonts w:hint="eastAsia" w:ascii="Cambria Math" w:hAnsi="Cambria Math"/>
            <w:sz w:val="20"/>
            <w:szCs w:val="22"/>
          </w:rPr>
          <m:t>,</m:t>
        </m:r>
        <m:sSubSup>
          <m:sSubSupPr>
            <m:ctrlPr>
              <w:rPr>
                <w:rFonts w:hint="eastAsia" w:ascii="Cambria Math" w:hAnsi="Cambria Math"/>
                <w:sz w:val="20"/>
                <w:szCs w:val="22"/>
              </w:rPr>
            </m:ctrlPr>
          </m:sSubSup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1</m:t>
            </m:r>
            <m:ctrlPr>
              <w:rPr>
                <w:rFonts w:hint="eastAsia" w:ascii="Cambria Math" w:hAnsi="Cambria Math"/>
                <w:sz w:val="20"/>
                <w:szCs w:val="22"/>
              </w:rPr>
            </m:ctrlPr>
          </m:sub>
          <m:sup>
            <m:r>
              <m:rPr>
                <m:sty m:val="p"/>
              </m:rPr>
              <w:rPr>
                <w:rFonts w:hint="eastAsia" w:ascii="Cambria Math" w:hAnsi="Cambria Math"/>
                <w:sz w:val="20"/>
                <w:szCs w:val="22"/>
              </w:rPr>
              <m:t>'</m:t>
            </m:r>
            <m:ctrlPr>
              <w:rPr>
                <w:rFonts w:hint="eastAsia" w:ascii="Cambria Math" w:hAnsi="Cambria Math"/>
                <w:sz w:val="20"/>
                <w:szCs w:val="22"/>
              </w:rPr>
            </m:ctrlPr>
          </m:sup>
        </m:sSubSup>
        <m:r>
          <m:rPr>
            <m:sty m:val="p"/>
          </m:rPr>
          <w:rPr>
            <w:rFonts w:hint="eastAsia" w:ascii="Cambria Math" w:hAnsi="Cambria Math"/>
            <w:sz w:val="20"/>
            <w:szCs w:val="22"/>
          </w:rPr>
          <m:t>,</m:t>
        </m:r>
        <m:sSubSup>
          <m:sSubSupPr>
            <m:ctrlPr>
              <w:rPr>
                <w:rFonts w:hint="eastAsia" w:ascii="Cambria Math" w:hAnsi="Cambria Math"/>
                <w:sz w:val="20"/>
                <w:szCs w:val="22"/>
              </w:rPr>
            </m:ctrlPr>
          </m:sSubSup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2</m:t>
            </m:r>
            <m:ctrlPr>
              <w:rPr>
                <w:rFonts w:hint="eastAsia" w:ascii="Cambria Math" w:hAnsi="Cambria Math"/>
                <w:sz w:val="20"/>
                <w:szCs w:val="22"/>
              </w:rPr>
            </m:ctrlPr>
          </m:sub>
          <m:sup>
            <m:r>
              <m:rPr>
                <m:sty m:val="p"/>
              </m:rPr>
              <w:rPr>
                <w:rFonts w:hint="eastAsia" w:ascii="Cambria Math" w:hAnsi="Cambria Math"/>
                <w:sz w:val="20"/>
                <w:szCs w:val="22"/>
              </w:rPr>
              <m:t>'</m:t>
            </m:r>
            <m:ctrlPr>
              <w:rPr>
                <w:rFonts w:hint="eastAsia" w:ascii="Cambria Math" w:hAnsi="Cambria Math"/>
                <w:sz w:val="20"/>
                <w:szCs w:val="22"/>
              </w:rPr>
            </m:ctrlPr>
          </m:sup>
        </m:sSubSup>
        <m:r>
          <m:rPr>
            <m:sty m:val="p"/>
          </m:rPr>
          <w:rPr>
            <w:rFonts w:hint="eastAsia" w:ascii="Cambria Math" w:hAnsi="Cambria Math"/>
            <w:sz w:val="20"/>
            <w:szCs w:val="22"/>
          </w:rPr>
          <m:t xml:space="preserve">,…) </m:t>
        </m:r>
      </m:oMath>
      <w:r>
        <w:rPr>
          <w:rFonts w:hint="eastAsia"/>
          <w:sz w:val="20"/>
          <w:szCs w:val="22"/>
        </w:rPr>
        <w:t xml:space="preserve">which may be subject to pre-emption. </w:t>
      </w:r>
      <w:r>
        <w:rPr>
          <w:sz w:val="20"/>
          <w:szCs w:val="22"/>
        </w:rPr>
        <w:t>In</w:t>
      </w:r>
      <w:r>
        <w:rPr>
          <w:rFonts w:hint="eastAsia"/>
          <w:sz w:val="20"/>
          <w:szCs w:val="22"/>
        </w:rPr>
        <w:t xml:space="preserve"> our understanding, it should not be </w:t>
      </w:r>
      <w:r>
        <w:rPr>
          <w:sz w:val="20"/>
          <w:szCs w:val="22"/>
        </w:rPr>
        <w:t>mandated</w:t>
      </w:r>
      <w:r>
        <w:rPr>
          <w:rFonts w:hint="eastAsia"/>
          <w:sz w:val="20"/>
          <w:szCs w:val="22"/>
        </w:rPr>
        <w:t xml:space="preserve"> that </w:t>
      </w:r>
      <m:oMath>
        <m:r>
          <m:rPr>
            <m:sty m:val="p"/>
          </m:rPr>
          <w:rPr>
            <w:rFonts w:hint="eastAsia" w:ascii="Cambria Math" w:hAnsi="Cambria Math"/>
            <w:sz w:val="20"/>
            <w:szCs w:val="22"/>
          </w:rPr>
          <m:t>(</m:t>
        </m:r>
        <m:sSub>
          <m:sSubPr>
            <m:ctrlPr>
              <w:rPr>
                <w:rFonts w:hint="eastAsia" w:ascii="Cambria Math" w:hAnsi="Cambria Math"/>
                <w:sz w:val="20"/>
                <w:szCs w:val="22"/>
              </w:rPr>
            </m:ctrlPr>
          </m:sSub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0</m:t>
            </m:r>
            <m:ctrlPr>
              <w:rPr>
                <w:rFonts w:hint="eastAsia" w:ascii="Cambria Math" w:hAnsi="Cambria Math"/>
                <w:sz w:val="20"/>
                <w:szCs w:val="22"/>
              </w:rPr>
            </m:ctrlPr>
          </m:sub>
        </m:sSub>
        <m:r>
          <m:rPr>
            <m:sty m:val="p"/>
          </m:rPr>
          <w:rPr>
            <w:rFonts w:hint="eastAsia" w:ascii="Cambria Math" w:hAnsi="Cambria Math"/>
            <w:sz w:val="20"/>
            <w:szCs w:val="22"/>
          </w:rPr>
          <m:t>,</m:t>
        </m:r>
        <m:sSub>
          <m:sSubPr>
            <m:ctrlPr>
              <w:rPr>
                <w:rFonts w:hint="eastAsia" w:ascii="Cambria Math" w:hAnsi="Cambria Math"/>
                <w:sz w:val="20"/>
                <w:szCs w:val="22"/>
              </w:rPr>
            </m:ctrlPr>
          </m:sSub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1</m:t>
            </m:r>
            <m:ctrlPr>
              <w:rPr>
                <w:rFonts w:hint="eastAsia" w:ascii="Cambria Math" w:hAnsi="Cambria Math"/>
                <w:sz w:val="20"/>
                <w:szCs w:val="22"/>
              </w:rPr>
            </m:ctrlPr>
          </m:sub>
        </m:sSub>
        <m:r>
          <m:rPr>
            <m:sty m:val="p"/>
          </m:rPr>
          <w:rPr>
            <w:rFonts w:hint="eastAsia" w:ascii="Cambria Math" w:hAnsi="Cambria Math"/>
            <w:sz w:val="20"/>
            <w:szCs w:val="22"/>
          </w:rPr>
          <m:t>,</m:t>
        </m:r>
        <m:sSub>
          <m:sSubPr>
            <m:ctrlPr>
              <w:rPr>
                <w:rFonts w:hint="eastAsia" w:ascii="Cambria Math" w:hAnsi="Cambria Math"/>
                <w:sz w:val="20"/>
                <w:szCs w:val="22"/>
              </w:rPr>
            </m:ctrlPr>
          </m:sSub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2</m:t>
            </m:r>
            <m:ctrlPr>
              <w:rPr>
                <w:rFonts w:hint="eastAsia" w:ascii="Cambria Math" w:hAnsi="Cambria Math"/>
                <w:sz w:val="20"/>
                <w:szCs w:val="22"/>
              </w:rPr>
            </m:ctrlPr>
          </m:sub>
        </m:sSub>
        <m:r>
          <m:rPr>
            <m:sty m:val="p"/>
          </m:rPr>
          <w:rPr>
            <w:rFonts w:hint="eastAsia" w:ascii="Cambria Math" w:hAnsi="Cambria Math"/>
            <w:sz w:val="20"/>
            <w:szCs w:val="22"/>
          </w:rPr>
          <m:t xml:space="preserve">,…) </m:t>
        </m:r>
      </m:oMath>
      <w:r>
        <w:rPr>
          <w:rFonts w:hint="eastAsia"/>
          <w:sz w:val="20"/>
          <w:szCs w:val="22"/>
        </w:rPr>
        <w:t xml:space="preserve">and </w:t>
      </w:r>
      <m:oMath>
        <m:r>
          <m:rPr>
            <m:sty m:val="p"/>
          </m:rPr>
          <w:rPr>
            <w:rFonts w:hint="eastAsia" w:ascii="Cambria Math" w:hAnsi="Cambria Math"/>
            <w:sz w:val="20"/>
            <w:szCs w:val="22"/>
          </w:rPr>
          <m:t>(</m:t>
        </m:r>
        <m:sSubSup>
          <m:sSubSupPr>
            <m:ctrlPr>
              <w:rPr>
                <w:rFonts w:hint="eastAsia" w:ascii="Cambria Math" w:hAnsi="Cambria Math"/>
                <w:sz w:val="20"/>
                <w:szCs w:val="22"/>
              </w:rPr>
            </m:ctrlPr>
          </m:sSubSup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0</m:t>
            </m:r>
            <m:ctrlPr>
              <w:rPr>
                <w:rFonts w:hint="eastAsia" w:ascii="Cambria Math" w:hAnsi="Cambria Math"/>
                <w:sz w:val="20"/>
                <w:szCs w:val="22"/>
              </w:rPr>
            </m:ctrlPr>
          </m:sub>
          <m:sup>
            <m:r>
              <m:rPr>
                <m:sty m:val="p"/>
              </m:rPr>
              <w:rPr>
                <w:rFonts w:hint="eastAsia" w:ascii="Cambria Math" w:hAnsi="Cambria Math"/>
                <w:sz w:val="20"/>
                <w:szCs w:val="22"/>
              </w:rPr>
              <m:t>'</m:t>
            </m:r>
            <m:ctrlPr>
              <w:rPr>
                <w:rFonts w:hint="eastAsia" w:ascii="Cambria Math" w:hAnsi="Cambria Math"/>
                <w:sz w:val="20"/>
                <w:szCs w:val="22"/>
              </w:rPr>
            </m:ctrlPr>
          </m:sup>
        </m:sSubSup>
        <m:r>
          <m:rPr>
            <m:sty m:val="p"/>
          </m:rPr>
          <w:rPr>
            <w:rFonts w:hint="eastAsia" w:ascii="Cambria Math" w:hAnsi="Cambria Math"/>
            <w:sz w:val="20"/>
            <w:szCs w:val="22"/>
          </w:rPr>
          <m:t>,</m:t>
        </m:r>
        <m:sSubSup>
          <m:sSubSupPr>
            <m:ctrlPr>
              <w:rPr>
                <w:rFonts w:hint="eastAsia" w:ascii="Cambria Math" w:hAnsi="Cambria Math"/>
                <w:sz w:val="20"/>
                <w:szCs w:val="22"/>
              </w:rPr>
            </m:ctrlPr>
          </m:sSubSup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1</m:t>
            </m:r>
            <m:ctrlPr>
              <w:rPr>
                <w:rFonts w:hint="eastAsia" w:ascii="Cambria Math" w:hAnsi="Cambria Math"/>
                <w:sz w:val="20"/>
                <w:szCs w:val="22"/>
              </w:rPr>
            </m:ctrlPr>
          </m:sub>
          <m:sup>
            <m:r>
              <m:rPr>
                <m:sty m:val="p"/>
              </m:rPr>
              <w:rPr>
                <w:rFonts w:hint="eastAsia" w:ascii="Cambria Math" w:hAnsi="Cambria Math"/>
                <w:sz w:val="20"/>
                <w:szCs w:val="22"/>
              </w:rPr>
              <m:t>'</m:t>
            </m:r>
            <m:ctrlPr>
              <w:rPr>
                <w:rFonts w:hint="eastAsia" w:ascii="Cambria Math" w:hAnsi="Cambria Math"/>
                <w:sz w:val="20"/>
                <w:szCs w:val="22"/>
              </w:rPr>
            </m:ctrlPr>
          </m:sup>
        </m:sSubSup>
        <m:r>
          <m:rPr>
            <m:sty m:val="p"/>
          </m:rPr>
          <w:rPr>
            <w:rFonts w:hint="eastAsia" w:ascii="Cambria Math" w:hAnsi="Cambria Math"/>
            <w:sz w:val="20"/>
            <w:szCs w:val="22"/>
          </w:rPr>
          <m:t>,</m:t>
        </m:r>
        <m:sSubSup>
          <m:sSubSupPr>
            <m:ctrlPr>
              <w:rPr>
                <w:rFonts w:hint="eastAsia" w:ascii="Cambria Math" w:hAnsi="Cambria Math"/>
                <w:sz w:val="20"/>
                <w:szCs w:val="22"/>
              </w:rPr>
            </m:ctrlPr>
          </m:sSubSupPr>
          <m:e>
            <m:r>
              <m:rPr>
                <m:sty m:val="p"/>
              </m:rPr>
              <w:rPr>
                <w:rFonts w:hint="eastAsia" w:ascii="Cambria Math" w:hAnsi="Cambria Math"/>
                <w:sz w:val="20"/>
                <w:szCs w:val="22"/>
              </w:rPr>
              <m:t>r</m:t>
            </m:r>
            <m:ctrlPr>
              <w:rPr>
                <w:rFonts w:hint="eastAsia" w:ascii="Cambria Math" w:hAnsi="Cambria Math"/>
                <w:sz w:val="20"/>
                <w:szCs w:val="22"/>
              </w:rPr>
            </m:ctrlPr>
          </m:e>
          <m:sub>
            <m:r>
              <m:rPr>
                <m:sty m:val="p"/>
              </m:rPr>
              <w:rPr>
                <w:rFonts w:hint="eastAsia" w:ascii="Cambria Math" w:hAnsi="Cambria Math"/>
                <w:sz w:val="20"/>
                <w:szCs w:val="22"/>
              </w:rPr>
              <m:t>2</m:t>
            </m:r>
            <m:ctrlPr>
              <w:rPr>
                <w:rFonts w:hint="eastAsia" w:ascii="Cambria Math" w:hAnsi="Cambria Math"/>
                <w:sz w:val="20"/>
                <w:szCs w:val="22"/>
              </w:rPr>
            </m:ctrlPr>
          </m:sub>
          <m:sup>
            <m:r>
              <m:rPr>
                <m:sty m:val="p"/>
              </m:rPr>
              <w:rPr>
                <w:rFonts w:hint="eastAsia" w:ascii="Cambria Math" w:hAnsi="Cambria Math"/>
                <w:sz w:val="20"/>
                <w:szCs w:val="22"/>
              </w:rPr>
              <m:t>'</m:t>
            </m:r>
            <m:ctrlPr>
              <w:rPr>
                <w:rFonts w:hint="eastAsia" w:ascii="Cambria Math" w:hAnsi="Cambria Math"/>
                <w:sz w:val="20"/>
                <w:szCs w:val="22"/>
              </w:rPr>
            </m:ctrlPr>
          </m:sup>
        </m:sSubSup>
        <m:r>
          <m:rPr>
            <m:sty m:val="p"/>
          </m:rPr>
          <w:rPr>
            <w:rFonts w:hint="eastAsia" w:ascii="Cambria Math" w:hAnsi="Cambria Math"/>
            <w:sz w:val="20"/>
            <w:szCs w:val="22"/>
          </w:rPr>
          <m:t xml:space="preserve">,…) </m:t>
        </m:r>
      </m:oMath>
      <w:r>
        <w:rPr>
          <w:rFonts w:hint="eastAsia"/>
          <w:sz w:val="20"/>
          <w:szCs w:val="22"/>
        </w:rPr>
        <w:t xml:space="preserve"> </w:t>
      </w:r>
      <w:r>
        <w:rPr>
          <w:sz w:val="20"/>
          <w:szCs w:val="22"/>
        </w:rPr>
        <w:t>have to be</w:t>
      </w:r>
      <w:r>
        <w:rPr>
          <w:rFonts w:hint="eastAsia"/>
          <w:sz w:val="20"/>
          <w:szCs w:val="22"/>
        </w:rPr>
        <w:t xml:space="preserve"> provided simultaneously by the higher layer. In other words, it should be allowed that only one of them is provided. </w:t>
      </w:r>
      <w:r>
        <w:rPr>
          <w:sz w:val="20"/>
          <w:szCs w:val="22"/>
        </w:rPr>
        <w:t xml:space="preserve">This issue also involves with the parameter </w:t>
      </w:r>
      <m:oMath>
        <m:sSubSup>
          <m:sSubSupPr>
            <m:ctrlPr>
              <w:rPr>
                <w:rFonts w:ascii="Cambria Math" w:hAnsi="Cambria Math"/>
                <w:i/>
                <w:sz w:val="20"/>
              </w:rPr>
            </m:ctrlPr>
          </m:sSubSupPr>
          <m:e>
            <m:r>
              <w:rPr>
                <w:rFonts w:ascii="Cambria Math" w:hAnsi="Cambria Math"/>
                <w:sz w:val="20"/>
              </w:rPr>
              <m:t>r</m:t>
            </m:r>
            <m:ctrlPr>
              <w:rPr>
                <w:rFonts w:ascii="Cambria Math" w:hAnsi="Cambria Math"/>
                <w:i/>
                <w:sz w:val="20"/>
              </w:rPr>
            </m:ctrlPr>
          </m:e>
          <m:sub>
            <m:r>
              <w:rPr>
                <w:rFonts w:ascii="Cambria Math" w:hAnsi="Cambria Math"/>
                <w:sz w:val="20"/>
              </w:rPr>
              <m:t>i</m:t>
            </m:r>
            <m:ctrlPr>
              <w:rPr>
                <w:rFonts w:ascii="Cambria Math" w:hAnsi="Cambria Math"/>
                <w:i/>
                <w:sz w:val="20"/>
              </w:rPr>
            </m:ctrlPr>
          </m:sub>
          <m:sup>
            <m:r>
              <w:rPr>
                <w:rFonts w:ascii="Cambria Math" w:hAnsi="Cambria Math"/>
                <w:sz w:val="20"/>
              </w:rPr>
              <m:t>''</m:t>
            </m:r>
            <m:ctrlPr>
              <w:rPr>
                <w:rFonts w:ascii="Cambria Math" w:hAnsi="Cambria Math"/>
                <w:i/>
                <w:sz w:val="20"/>
              </w:rPr>
            </m:ctrlPr>
          </m:sup>
        </m:sSubSup>
      </m:oMath>
      <w:r>
        <w:rPr>
          <w:sz w:val="20"/>
        </w:rPr>
        <w:t xml:space="preserve">, whose definition of “the slot with the smallest slot index among </w:t>
      </w:r>
      <m:oMath>
        <m:r>
          <w:rPr>
            <w:rFonts w:ascii="Cambria Math" w:hAnsi="Cambria Math"/>
            <w:sz w:val="20"/>
          </w:rPr>
          <m:t>(</m:t>
        </m:r>
        <m:sSub>
          <m:sSubPr>
            <m:ctrlPr>
              <w:rPr>
                <w:rFonts w:ascii="Cambria Math" w:hAnsi="Cambria Math"/>
                <w:i/>
                <w:sz w:val="20"/>
              </w:rPr>
            </m:ctrlPr>
          </m:sSubPr>
          <m:e>
            <m:r>
              <w:rPr>
                <w:rFonts w:ascii="Cambria Math" w:hAnsi="Cambria Math"/>
                <w:sz w:val="20"/>
              </w:rPr>
              <m:t>r</m:t>
            </m:r>
            <m:ctrlPr>
              <w:rPr>
                <w:rFonts w:ascii="Cambria Math" w:hAnsi="Cambria Math"/>
                <w:i/>
                <w:sz w:val="20"/>
              </w:rPr>
            </m:ctrlPr>
          </m:e>
          <m:sub>
            <m:r>
              <w:rPr>
                <w:rFonts w:ascii="Cambria Math" w:hAnsi="Cambria Math"/>
                <w:sz w:val="20"/>
              </w:rPr>
              <m:t>0</m:t>
            </m:r>
            <m:ctrlPr>
              <w:rPr>
                <w:rFonts w:ascii="Cambria Math" w:hAnsi="Cambria Math"/>
                <w:i/>
                <w:sz w:val="20"/>
              </w:rPr>
            </m:ctrlPr>
          </m:sub>
        </m:sSub>
        <m:r>
          <w:rPr>
            <w:rFonts w:ascii="Cambria Math" w:hAnsi="Cambria Math"/>
            <w:sz w:val="20"/>
          </w:rPr>
          <m:t>,</m:t>
        </m:r>
        <m:sSub>
          <m:sSubPr>
            <m:ctrlPr>
              <w:rPr>
                <w:rFonts w:ascii="Cambria Math" w:hAnsi="Cambria Math"/>
                <w:i/>
                <w:sz w:val="20"/>
              </w:rPr>
            </m:ctrlPr>
          </m:sSubPr>
          <m:e>
            <m:r>
              <w:rPr>
                <w:rFonts w:ascii="Cambria Math" w:hAnsi="Cambria Math"/>
                <w:sz w:val="20"/>
              </w:rPr>
              <m:t>r</m:t>
            </m:r>
            <m:ctrlPr>
              <w:rPr>
                <w:rFonts w:ascii="Cambria Math" w:hAnsi="Cambria Math"/>
                <w:i/>
                <w:sz w:val="20"/>
              </w:rPr>
            </m:ctrlPr>
          </m:e>
          <m:sub>
            <m:r>
              <w:rPr>
                <w:rFonts w:ascii="Cambria Math" w:hAnsi="Cambria Math"/>
                <w:sz w:val="20"/>
              </w:rPr>
              <m:t>1</m:t>
            </m:r>
            <m:ctrlPr>
              <w:rPr>
                <w:rFonts w:ascii="Cambria Math" w:hAnsi="Cambria Math"/>
                <w:i/>
                <w:sz w:val="20"/>
              </w:rPr>
            </m:ctrlPr>
          </m:sub>
        </m:sSub>
        <m:r>
          <w:rPr>
            <w:rFonts w:ascii="Cambria Math" w:hAnsi="Cambria Math"/>
            <w:sz w:val="20"/>
          </w:rPr>
          <m:t>,</m:t>
        </m:r>
        <m:sSub>
          <m:sSubPr>
            <m:ctrlPr>
              <w:rPr>
                <w:rFonts w:ascii="Cambria Math" w:hAnsi="Cambria Math"/>
                <w:i/>
                <w:sz w:val="20"/>
              </w:rPr>
            </m:ctrlPr>
          </m:sSubPr>
          <m:e>
            <m:r>
              <w:rPr>
                <w:rFonts w:ascii="Cambria Math" w:hAnsi="Cambria Math"/>
                <w:sz w:val="20"/>
              </w:rPr>
              <m:t>r</m:t>
            </m:r>
            <m:ctrlPr>
              <w:rPr>
                <w:rFonts w:ascii="Cambria Math" w:hAnsi="Cambria Math"/>
                <w:i/>
                <w:sz w:val="20"/>
              </w:rPr>
            </m:ctrlPr>
          </m:e>
          <m:sub>
            <m:r>
              <w:rPr>
                <w:rFonts w:ascii="Cambria Math" w:hAnsi="Cambria Math"/>
                <w:sz w:val="20"/>
              </w:rPr>
              <m:t>2</m:t>
            </m:r>
            <m:ctrlPr>
              <w:rPr>
                <w:rFonts w:ascii="Cambria Math" w:hAnsi="Cambria Math"/>
                <w:i/>
                <w:sz w:val="20"/>
              </w:rPr>
            </m:ctrlPr>
          </m:sub>
        </m:sSub>
        <m:r>
          <w:rPr>
            <w:rFonts w:ascii="Cambria Math" w:hAnsi="Cambria Math"/>
            <w:sz w:val="20"/>
          </w:rPr>
          <m:t xml:space="preserve">,…) </m:t>
        </m:r>
      </m:oMath>
      <w:r>
        <w:rPr>
          <w:sz w:val="20"/>
        </w:rPr>
        <w:t xml:space="preserve">and </w:t>
      </w:r>
      <m:oMath>
        <m:r>
          <w:rPr>
            <w:rFonts w:ascii="Cambria Math" w:hAnsi="Cambria Math"/>
            <w:sz w:val="20"/>
          </w:rPr>
          <m:t>(</m:t>
        </m:r>
        <m:sSubSup>
          <m:sSubSupPr>
            <m:ctrlPr>
              <w:rPr>
                <w:rFonts w:ascii="Cambria Math" w:hAnsi="Cambria Math"/>
                <w:i/>
                <w:sz w:val="20"/>
              </w:rPr>
            </m:ctrlPr>
          </m:sSubSupPr>
          <m:e>
            <m:r>
              <w:rPr>
                <w:rFonts w:ascii="Cambria Math" w:hAnsi="Cambria Math"/>
                <w:sz w:val="20"/>
              </w:rPr>
              <m:t>r</m:t>
            </m:r>
            <m:ctrlPr>
              <w:rPr>
                <w:rFonts w:ascii="Cambria Math" w:hAnsi="Cambria Math"/>
                <w:i/>
                <w:sz w:val="20"/>
              </w:rPr>
            </m:ctrlPr>
          </m:e>
          <m:sub>
            <m:r>
              <w:rPr>
                <w:rFonts w:ascii="Cambria Math" w:hAnsi="Cambria Math"/>
                <w:sz w:val="20"/>
              </w:rPr>
              <m:t>0</m:t>
            </m:r>
            <m:ctrlPr>
              <w:rPr>
                <w:rFonts w:ascii="Cambria Math" w:hAnsi="Cambria Math"/>
                <w:i/>
                <w:sz w:val="20"/>
              </w:rPr>
            </m:ctrlPr>
          </m:sub>
          <m:sup>
            <m:r>
              <w:rPr>
                <w:rFonts w:ascii="Cambria Math" w:hAnsi="Cambria Math"/>
                <w:sz w:val="20"/>
              </w:rPr>
              <m:t>'</m:t>
            </m:r>
            <m:ctrlPr>
              <w:rPr>
                <w:rFonts w:ascii="Cambria Math" w:hAnsi="Cambria Math"/>
                <w:i/>
                <w:sz w:val="20"/>
              </w:rPr>
            </m:ctrlP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r</m:t>
            </m:r>
            <m:ctrlPr>
              <w:rPr>
                <w:rFonts w:ascii="Cambria Math" w:hAnsi="Cambria Math"/>
                <w:i/>
                <w:sz w:val="20"/>
              </w:rPr>
            </m:ctrlPr>
          </m:e>
          <m:sub>
            <m:r>
              <w:rPr>
                <w:rFonts w:ascii="Cambria Math" w:hAnsi="Cambria Math"/>
                <w:sz w:val="20"/>
              </w:rPr>
              <m:t>1</m:t>
            </m:r>
            <m:ctrlPr>
              <w:rPr>
                <w:rFonts w:ascii="Cambria Math" w:hAnsi="Cambria Math"/>
                <w:i/>
                <w:sz w:val="20"/>
              </w:rPr>
            </m:ctrlPr>
          </m:sub>
          <m:sup>
            <m:r>
              <w:rPr>
                <w:rFonts w:ascii="Cambria Math" w:hAnsi="Cambria Math"/>
                <w:sz w:val="20"/>
              </w:rPr>
              <m:t>'</m:t>
            </m:r>
            <m:ctrlPr>
              <w:rPr>
                <w:rFonts w:ascii="Cambria Math" w:hAnsi="Cambria Math"/>
                <w:i/>
                <w:sz w:val="20"/>
              </w:rPr>
            </m:ctrlP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r</m:t>
            </m:r>
            <m:ctrlPr>
              <w:rPr>
                <w:rFonts w:ascii="Cambria Math" w:hAnsi="Cambria Math"/>
                <w:i/>
                <w:sz w:val="20"/>
              </w:rPr>
            </m:ctrlPr>
          </m:e>
          <m:sub>
            <m:r>
              <w:rPr>
                <w:rFonts w:ascii="Cambria Math" w:hAnsi="Cambria Math"/>
                <w:sz w:val="20"/>
              </w:rPr>
              <m:t>2</m:t>
            </m:r>
            <m:ctrlPr>
              <w:rPr>
                <w:rFonts w:ascii="Cambria Math" w:hAnsi="Cambria Math"/>
                <w:i/>
                <w:sz w:val="20"/>
              </w:rPr>
            </m:ctrlPr>
          </m:sub>
          <m:sup>
            <m:r>
              <w:rPr>
                <w:rFonts w:ascii="Cambria Math" w:hAnsi="Cambria Math"/>
                <w:sz w:val="20"/>
              </w:rPr>
              <m:t>'</m:t>
            </m:r>
            <m:ctrlPr>
              <w:rPr>
                <w:rFonts w:ascii="Cambria Math" w:hAnsi="Cambria Math"/>
                <w:i/>
                <w:sz w:val="20"/>
              </w:rPr>
            </m:ctrlPr>
          </m:sup>
        </m:sSubSup>
        <m:r>
          <w:rPr>
            <w:rFonts w:ascii="Cambria Math" w:hAnsi="Cambria Math"/>
            <w:sz w:val="20"/>
          </w:rPr>
          <m:t>,…)</m:t>
        </m:r>
      </m:oMath>
      <w:r>
        <w:rPr>
          <w:sz w:val="20"/>
        </w:rPr>
        <w:t xml:space="preserve">” mandates both sets of slots are provided. </w:t>
      </w:r>
    </w:p>
    <w:p>
      <w:pPr>
        <w:pStyle w:val="36"/>
        <w:spacing w:before="120" w:after="120" w:line="260" w:lineRule="auto"/>
        <w:jc w:val="both"/>
        <w:rPr>
          <w:lang w:val="en-US" w:eastAsia="zh-CN"/>
        </w:rPr>
      </w:pPr>
      <w:bookmarkStart w:id="0" w:name="_Toc24582"/>
      <w:bookmarkStart w:id="1" w:name="_Toc24542"/>
      <w:r>
        <w:rPr>
          <w:szCs w:val="22"/>
          <w:lang w:val="en-US" w:eastAsia="zh-CN"/>
        </w:rPr>
        <w:t xml:space="preserve">To adopt the following description in section </w:t>
      </w:r>
      <w:r>
        <w:rPr>
          <w:rFonts w:hint="eastAsia"/>
          <w:szCs w:val="22"/>
          <w:lang w:val="en-US" w:eastAsia="zh-CN"/>
        </w:rPr>
        <w:t>8.1</w:t>
      </w:r>
      <w:r>
        <w:rPr>
          <w:szCs w:val="22"/>
          <w:lang w:val="en-US" w:eastAsia="zh-CN"/>
        </w:rPr>
        <w:t xml:space="preserve">.4 in TS </w:t>
      </w:r>
      <w:r>
        <w:rPr>
          <w:rFonts w:hint="eastAsia"/>
          <w:szCs w:val="22"/>
          <w:lang w:val="en-US" w:eastAsia="zh-CN"/>
        </w:rPr>
        <w:t>38.214.</w:t>
      </w:r>
      <w:bookmarkEnd w:id="0"/>
      <w:bookmarkEnd w:id="1"/>
    </w:p>
    <w:tbl>
      <w:tblPr>
        <w:tblStyle w:val="23"/>
        <w:tblpPr w:leftFromText="180" w:rightFromText="180" w:vertAnchor="text" w:horzAnchor="page" w:tblpX="1445" w:tblpY="211"/>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spacing w:after="120"/>
              <w:ind w:right="210"/>
              <w:outlineLvl w:val="2"/>
              <w:rPr>
                <w:color w:val="000000"/>
              </w:rPr>
            </w:pPr>
            <w:r>
              <w:rPr>
                <w:color w:val="000000"/>
              </w:rPr>
              <w:t>8.1.4</w:t>
            </w:r>
            <w:r>
              <w:rPr>
                <w:color w:val="000000"/>
              </w:rPr>
              <w:tab/>
            </w:r>
            <w:r>
              <w:rPr>
                <w:color w:val="000000"/>
              </w:rPr>
              <w:t>UE procedure for determining the subset of resources to be reported to higher layers in PSSCH resource selection in sidelink resource allocation mode 2</w:t>
            </w:r>
          </w:p>
          <w:p>
            <w:pPr>
              <w:widowControl w:val="0"/>
              <w:spacing w:before="120" w:after="120"/>
              <w:jc w:val="center"/>
              <w:rPr>
                <w:sz w:val="20"/>
              </w:rPr>
            </w:pPr>
            <w:r>
              <w:rPr>
                <w:b/>
                <w:iCs/>
                <w:color w:val="FF0000"/>
                <w:sz w:val="20"/>
              </w:rPr>
              <w:t>&lt;Unchanged parts are omitted&gt;</w:t>
            </w:r>
          </w:p>
          <w:p>
            <w:pPr>
              <w:pStyle w:val="51"/>
              <w:widowControl w:val="0"/>
              <w:spacing w:before="120" w:after="120"/>
              <w:rPr>
                <w:sz w:val="20"/>
                <w:highlight w:val="none"/>
              </w:rPr>
            </w:pPr>
            <w:r>
              <w:rPr>
                <w:sz w:val="20"/>
              </w:rPr>
              <w:t>-</w:t>
            </w:r>
            <w:r>
              <w:rPr>
                <w:sz w:val="20"/>
              </w:rPr>
              <w:tab/>
            </w:r>
            <w:r>
              <w:rPr>
                <w:sz w:val="20"/>
              </w:rPr>
              <w:t xml:space="preserve">if the higher layer requests </w:t>
            </w:r>
            <w:r>
              <w:rPr>
                <w:sz w:val="20"/>
                <w:lang w:eastAsia="en-GB"/>
              </w:rPr>
              <w:t>the UE to determine a subset of resources from which the higher layer will select resources for PSSCH/PSCCH transmission</w:t>
            </w:r>
            <w:r>
              <w:rPr>
                <w:sz w:val="20"/>
              </w:rPr>
              <w:t xml:space="preserve"> as part of re-evaluation or pre-emption procedure, the higher layer </w:t>
            </w:r>
            <w:r>
              <w:rPr>
                <w:rFonts w:hint="eastAsia"/>
                <w:color w:val="FF0000"/>
                <w:sz w:val="20"/>
                <w:lang w:val="en-US" w:eastAsia="zh-CN"/>
              </w:rPr>
              <w:t>may</w:t>
            </w:r>
            <w:r>
              <w:rPr>
                <w:rFonts w:hint="eastAsia"/>
                <w:sz w:val="20"/>
                <w:lang w:val="en-US" w:eastAsia="zh-CN"/>
              </w:rPr>
              <w:t xml:space="preserve"> </w:t>
            </w:r>
            <w:r>
              <w:rPr>
                <w:sz w:val="20"/>
                <w:highlight w:val="none"/>
              </w:rPr>
              <w:t>provide</w:t>
            </w:r>
            <w:r>
              <w:rPr>
                <w:strike/>
                <w:sz w:val="20"/>
                <w:highlight w:val="none"/>
              </w:rPr>
              <w:t>s</w:t>
            </w:r>
            <w:r>
              <w:rPr>
                <w:sz w:val="20"/>
                <w:highlight w:val="none"/>
              </w:rPr>
              <w:t xml:space="preserve"> a set of resources </w:t>
            </w:r>
            <m:oMath>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0</m:t>
                  </m:r>
                  <m:ctrlPr>
                    <w:rPr>
                      <w:rFonts w:ascii="Cambria Math" w:hAnsi="Cambria Math"/>
                      <w:i/>
                      <w:sz w:val="20"/>
                      <w:highlight w:val="none"/>
                    </w:rPr>
                  </m:ctrlPr>
                </m:sub>
              </m:sSub>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1</m:t>
                  </m:r>
                  <m:ctrlPr>
                    <w:rPr>
                      <w:rFonts w:ascii="Cambria Math" w:hAnsi="Cambria Math"/>
                      <w:i/>
                      <w:sz w:val="20"/>
                      <w:highlight w:val="none"/>
                    </w:rPr>
                  </m:ctrlPr>
                </m:sub>
              </m:sSub>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2</m:t>
                  </m:r>
                  <m:ctrlPr>
                    <w:rPr>
                      <w:rFonts w:ascii="Cambria Math" w:hAnsi="Cambria Math"/>
                      <w:i/>
                      <w:sz w:val="20"/>
                      <w:highlight w:val="none"/>
                    </w:rPr>
                  </m:ctrlPr>
                </m:sub>
              </m:sSub>
              <m:r>
                <w:rPr>
                  <w:rFonts w:ascii="Cambria Math" w:hAnsi="Cambria Math"/>
                  <w:sz w:val="20"/>
                  <w:highlight w:val="none"/>
                </w:rPr>
                <m:t xml:space="preserve">,…) </m:t>
              </m:r>
            </m:oMath>
            <w:r>
              <w:rPr>
                <w:sz w:val="20"/>
                <w:highlight w:val="none"/>
              </w:rPr>
              <w:t>which may be subject to re-evaluation</w:t>
            </w:r>
            <w:r>
              <w:rPr>
                <w:color w:val="auto"/>
                <w:sz w:val="20"/>
                <w:highlight w:val="none"/>
              </w:rPr>
              <w:t xml:space="preserve"> </w:t>
            </w:r>
            <w:r>
              <w:rPr>
                <w:strike w:val="0"/>
                <w:color w:val="auto"/>
                <w:sz w:val="20"/>
                <w:highlight w:val="none"/>
              </w:rPr>
              <w:t>and</w:t>
            </w:r>
            <w:r>
              <w:rPr>
                <w:rFonts w:hint="eastAsia"/>
                <w:color w:val="FF0000"/>
                <w:sz w:val="20"/>
                <w:highlight w:val="none"/>
              </w:rPr>
              <w:t xml:space="preserve"> </w:t>
            </w:r>
            <w:r>
              <w:rPr>
                <w:rFonts w:hint="eastAsia"/>
                <w:color w:val="FF0000"/>
                <w:sz w:val="20"/>
                <w:highlight w:val="none"/>
                <w:u w:val="single"/>
                <w:lang w:val="en-US" w:eastAsia="zh-CN"/>
              </w:rPr>
              <w:t>may provide</w:t>
            </w:r>
            <w:r>
              <w:rPr>
                <w:color w:val="FF0000"/>
                <w:sz w:val="20"/>
                <w:highlight w:val="none"/>
                <w:u w:val="single"/>
              </w:rPr>
              <w:t xml:space="preserve"> a</w:t>
            </w:r>
            <w:r>
              <w:rPr>
                <w:rFonts w:hint="eastAsia"/>
                <w:color w:val="FF0000"/>
                <w:sz w:val="20"/>
                <w:highlight w:val="none"/>
                <w:u w:val="single"/>
                <w:lang w:val="en-US" w:eastAsia="zh-CN"/>
              </w:rPr>
              <w:t>n</w:t>
            </w:r>
            <w:r>
              <w:rPr>
                <w:rFonts w:hint="eastAsia"/>
                <w:color w:val="FF0000"/>
                <w:sz w:val="20"/>
                <w:highlight w:val="none"/>
                <w:lang w:val="en-US" w:eastAsia="zh-CN"/>
              </w:rPr>
              <w:t>other</w:t>
            </w:r>
            <w:r>
              <w:rPr>
                <w:rFonts w:hint="eastAsia"/>
                <w:sz w:val="20"/>
                <w:highlight w:val="none"/>
                <w:lang w:val="en-US" w:eastAsia="zh-CN"/>
              </w:rPr>
              <w:t xml:space="preserve"> </w:t>
            </w:r>
            <w:r>
              <w:rPr>
                <w:sz w:val="20"/>
                <w:highlight w:val="none"/>
              </w:rPr>
              <w:t xml:space="preserve">set of resources </w:t>
            </w:r>
            <m:oMath>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0</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1</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2</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 xml:space="preserve">,…) </m:t>
              </m:r>
            </m:oMath>
            <w:r>
              <w:rPr>
                <w:sz w:val="20"/>
                <w:highlight w:val="none"/>
              </w:rPr>
              <w:t>which may be subject to pre-emption.</w:t>
            </w:r>
          </w:p>
          <w:p>
            <w:pPr>
              <w:pStyle w:val="61"/>
              <w:widowControl w:val="0"/>
              <w:spacing w:before="120" w:after="120"/>
              <w:rPr>
                <w:iCs/>
                <w:sz w:val="20"/>
                <w:highlight w:val="none"/>
              </w:rPr>
            </w:pPr>
            <w:r>
              <w:rPr>
                <w:sz w:val="20"/>
                <w:highlight w:val="none"/>
              </w:rPr>
              <w:t>-</w:t>
            </w:r>
            <w:r>
              <w:rPr>
                <w:sz w:val="20"/>
                <w:highlight w:val="none"/>
              </w:rPr>
              <w:tab/>
            </w:r>
            <w:r>
              <w:rPr>
                <w:rFonts w:eastAsiaTheme="minorHAnsi"/>
                <w:sz w:val="20"/>
                <w:highlight w:val="none"/>
              </w:rPr>
              <w:t xml:space="preserve">it is up to UE implementation </w:t>
            </w:r>
            <w:r>
              <w:rPr>
                <w:sz w:val="20"/>
                <w:highlight w:val="none"/>
                <w:lang w:eastAsia="en-GB"/>
              </w:rPr>
              <w:t>to determine the subset of resources as requested by higher layers</w:t>
            </w:r>
            <w:r>
              <w:rPr>
                <w:sz w:val="20"/>
                <w:highlight w:val="none"/>
              </w:rPr>
              <w:t xml:space="preserve"> before or after the slot </w:t>
            </w:r>
            <m:oMath>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i</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oMath>
            <w:r>
              <w:rPr>
                <w:sz w:val="20"/>
                <w:highlight w:val="none"/>
              </w:rPr>
              <w:t xml:space="preserve"> - </w:t>
            </w:r>
            <m:oMath>
              <m:sSub>
                <m:sSubPr>
                  <m:ctrlPr>
                    <w:rPr>
                      <w:rFonts w:ascii="Cambria Math" w:hAnsi="Cambria Math"/>
                      <w:i/>
                      <w:sz w:val="20"/>
                      <w:highlight w:val="none"/>
                    </w:rPr>
                  </m:ctrlPr>
                </m:sSubPr>
                <m:e>
                  <m:r>
                    <w:rPr>
                      <w:rFonts w:ascii="Cambria Math" w:hAnsi="Cambria Math"/>
                      <w:sz w:val="20"/>
                      <w:highlight w:val="none"/>
                    </w:rPr>
                    <m:t>T</m:t>
                  </m:r>
                  <m:ctrlPr>
                    <w:rPr>
                      <w:rFonts w:ascii="Cambria Math" w:hAnsi="Cambria Math"/>
                      <w:i/>
                      <w:sz w:val="20"/>
                      <w:highlight w:val="none"/>
                    </w:rPr>
                  </m:ctrlPr>
                </m:e>
                <m:sub>
                  <m:r>
                    <w:rPr>
                      <w:rFonts w:ascii="Cambria Math" w:hAnsi="Cambria Math"/>
                      <w:sz w:val="20"/>
                      <w:highlight w:val="none"/>
                    </w:rPr>
                    <m:t>3</m:t>
                  </m:r>
                  <m:ctrlPr>
                    <w:rPr>
                      <w:rFonts w:ascii="Cambria Math" w:hAnsi="Cambria Math"/>
                      <w:i/>
                      <w:sz w:val="20"/>
                      <w:highlight w:val="none"/>
                    </w:rPr>
                  </m:ctrlPr>
                </m:sub>
              </m:sSub>
            </m:oMath>
            <w:r>
              <w:rPr>
                <w:sz w:val="20"/>
                <w:highlight w:val="none"/>
              </w:rPr>
              <w:t xml:space="preserve">, where </w:t>
            </w:r>
            <m:oMath>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i</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oMath>
            <w:r>
              <w:rPr>
                <w:sz w:val="20"/>
                <w:highlight w:val="none"/>
              </w:rPr>
              <w:t xml:space="preserve"> is the slot with the smallest slot index among </w:t>
            </w:r>
            <m:oMath>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0</m:t>
                  </m:r>
                  <m:ctrlPr>
                    <w:rPr>
                      <w:rFonts w:ascii="Cambria Math" w:hAnsi="Cambria Math"/>
                      <w:i/>
                      <w:sz w:val="20"/>
                      <w:highlight w:val="none"/>
                    </w:rPr>
                  </m:ctrlPr>
                </m:sub>
              </m:sSub>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1</m:t>
                  </m:r>
                  <m:ctrlPr>
                    <w:rPr>
                      <w:rFonts w:ascii="Cambria Math" w:hAnsi="Cambria Math"/>
                      <w:i/>
                      <w:sz w:val="20"/>
                      <w:highlight w:val="none"/>
                    </w:rPr>
                  </m:ctrlPr>
                </m:sub>
              </m:sSub>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2</m:t>
                  </m:r>
                  <m:ctrlPr>
                    <w:rPr>
                      <w:rFonts w:ascii="Cambria Math" w:hAnsi="Cambria Math"/>
                      <w:i/>
                      <w:sz w:val="20"/>
                      <w:highlight w:val="none"/>
                    </w:rPr>
                  </m:ctrlPr>
                </m:sub>
              </m:sSub>
              <m:r>
                <w:rPr>
                  <w:rFonts w:ascii="Cambria Math" w:hAnsi="Cambria Math"/>
                  <w:sz w:val="20"/>
                  <w:highlight w:val="none"/>
                </w:rPr>
                <m:t xml:space="preserve">,…) </m:t>
              </m:r>
            </m:oMath>
            <w:r>
              <w:rPr>
                <w:sz w:val="20"/>
                <w:highlight w:val="none"/>
              </w:rPr>
              <w:t xml:space="preserve">and </w:t>
            </w:r>
            <m:oMath>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0</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1</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2</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 xml:space="preserve">,…) </m:t>
              </m:r>
            </m:oMath>
            <w:r>
              <w:rPr>
                <w:sz w:val="20"/>
                <w:highlight w:val="none"/>
              </w:rPr>
              <w:t xml:space="preserve">, </w:t>
            </w:r>
            <w:r>
              <w:rPr>
                <w:color w:val="FF0000"/>
                <w:sz w:val="20"/>
                <w:highlight w:val="none"/>
                <w:u w:val="single"/>
              </w:rPr>
              <w:t>if any provided,</w:t>
            </w:r>
            <w:r>
              <w:rPr>
                <w:sz w:val="20"/>
                <w:highlight w:val="none"/>
              </w:rPr>
              <w:t xml:space="preserve"> and </w:t>
            </w:r>
            <m:oMath>
              <m:sSub>
                <m:sSubPr>
                  <m:ctrlPr>
                    <w:rPr>
                      <w:rFonts w:ascii="Cambria Math" w:hAnsi="Cambria Math"/>
                      <w:i/>
                      <w:sz w:val="20"/>
                      <w:highlight w:val="none"/>
                    </w:rPr>
                  </m:ctrlPr>
                </m:sSubPr>
                <m:e>
                  <m:r>
                    <w:rPr>
                      <w:rFonts w:ascii="Cambria Math" w:hAnsi="Cambria Math"/>
                      <w:sz w:val="20"/>
                      <w:highlight w:val="none"/>
                    </w:rPr>
                    <m:t>T</m:t>
                  </m:r>
                  <m:ctrlPr>
                    <w:rPr>
                      <w:rFonts w:ascii="Cambria Math" w:hAnsi="Cambria Math"/>
                      <w:i/>
                      <w:sz w:val="20"/>
                      <w:highlight w:val="none"/>
                    </w:rPr>
                  </m:ctrlPr>
                </m:e>
                <m:sub>
                  <m:r>
                    <w:rPr>
                      <w:rFonts w:ascii="Cambria Math" w:hAnsi="Cambria Math"/>
                      <w:sz w:val="20"/>
                      <w:highlight w:val="none"/>
                    </w:rPr>
                    <m:t>3</m:t>
                  </m:r>
                  <m:ctrlPr>
                    <w:rPr>
                      <w:rFonts w:ascii="Cambria Math" w:hAnsi="Cambria Math"/>
                      <w:i/>
                      <w:sz w:val="20"/>
                      <w:highlight w:val="none"/>
                    </w:rPr>
                  </m:ctrlPr>
                </m:sub>
              </m:sSub>
            </m:oMath>
            <w:r>
              <w:rPr>
                <w:sz w:val="20"/>
                <w:highlight w:val="none"/>
              </w:rPr>
              <w:t xml:space="preserve"> is equal to </w:t>
            </w:r>
            <m:oMath>
              <m:sSubSup>
                <m:sSubSupPr>
                  <m:ctrlPr>
                    <w:rPr>
                      <w:rFonts w:ascii="Cambria Math" w:hAnsi="Cambria Math"/>
                      <w:i/>
                      <w:sz w:val="20"/>
                      <w:highlight w:val="none"/>
                    </w:rPr>
                  </m:ctrlPr>
                </m:sSubSupPr>
                <m:e>
                  <m:r>
                    <w:rPr>
                      <w:rFonts w:ascii="Cambria Math" w:hAnsi="Cambria Math"/>
                      <w:sz w:val="20"/>
                      <w:highlight w:val="none"/>
                    </w:rPr>
                    <m:t>T</m:t>
                  </m:r>
                  <m:ctrlPr>
                    <w:rPr>
                      <w:rFonts w:ascii="Cambria Math" w:hAnsi="Cambria Math"/>
                      <w:i/>
                      <w:sz w:val="20"/>
                      <w:highlight w:val="none"/>
                    </w:rPr>
                  </m:ctrlPr>
                </m:e>
                <m:sub>
                  <m:r>
                    <w:rPr>
                      <w:rFonts w:ascii="Cambria Math" w:hAnsi="Cambria Math"/>
                      <w:sz w:val="20"/>
                      <w:highlight w:val="none"/>
                    </w:rPr>
                    <m:t>proc,1</m:t>
                  </m:r>
                  <m:ctrlPr>
                    <w:rPr>
                      <w:rFonts w:ascii="Cambria Math" w:hAnsi="Cambria Math"/>
                      <w:i/>
                      <w:sz w:val="20"/>
                      <w:highlight w:val="none"/>
                    </w:rPr>
                  </m:ctrlPr>
                </m:sub>
                <m:sup>
                  <m:r>
                    <w:rPr>
                      <w:rFonts w:ascii="Cambria Math" w:hAnsi="Cambria Math"/>
                      <w:sz w:val="20"/>
                      <w:highlight w:val="none"/>
                    </w:rPr>
                    <m:t>SL</m:t>
                  </m:r>
                  <m:ctrlPr>
                    <w:rPr>
                      <w:rFonts w:ascii="Cambria Math" w:hAnsi="Cambria Math"/>
                      <w:i/>
                      <w:sz w:val="20"/>
                      <w:highlight w:val="none"/>
                    </w:rPr>
                  </m:ctrlPr>
                </m:sup>
              </m:sSubSup>
            </m:oMath>
            <w:r>
              <w:rPr>
                <w:sz w:val="20"/>
                <w:highlight w:val="none"/>
              </w:rPr>
              <w:t xml:space="preserve">, </w:t>
            </w:r>
            <w:r>
              <w:rPr>
                <w:iCs/>
                <w:sz w:val="20"/>
                <w:highlight w:val="none"/>
              </w:rPr>
              <w:t>where</w:t>
            </w:r>
            <w:r>
              <w:rPr>
                <w:i/>
                <w:iCs/>
                <w:sz w:val="20"/>
                <w:highlight w:val="none"/>
              </w:rPr>
              <w:t xml:space="preserve"> </w:t>
            </w:r>
            <m:oMath>
              <m:sSubSup>
                <m:sSubSupPr>
                  <m:ctrlPr>
                    <w:rPr>
                      <w:rFonts w:ascii="Cambria Math" w:hAnsi="Cambria Math"/>
                      <w:i/>
                      <w:iCs/>
                      <w:sz w:val="20"/>
                      <w:highlight w:val="none"/>
                    </w:rPr>
                  </m:ctrlPr>
                </m:sSubSupPr>
                <m:e>
                  <m:r>
                    <w:rPr>
                      <w:rFonts w:ascii="Cambria Math" w:hAnsi="Cambria Math"/>
                      <w:sz w:val="20"/>
                      <w:highlight w:val="none"/>
                    </w:rPr>
                    <m:t>T</m:t>
                  </m:r>
                  <m:ctrlPr>
                    <w:rPr>
                      <w:rFonts w:ascii="Cambria Math" w:hAnsi="Cambria Math"/>
                      <w:i/>
                      <w:iCs/>
                      <w:sz w:val="20"/>
                      <w:highlight w:val="none"/>
                    </w:rPr>
                  </m:ctrlPr>
                </m:e>
                <m:sub>
                  <m:r>
                    <w:rPr>
                      <w:rFonts w:ascii="Cambria Math" w:hAnsi="Cambria Math"/>
                      <w:sz w:val="20"/>
                      <w:highlight w:val="none"/>
                    </w:rPr>
                    <m:t>proc,1</m:t>
                  </m:r>
                  <m:ctrlPr>
                    <w:rPr>
                      <w:rFonts w:ascii="Cambria Math" w:hAnsi="Cambria Math"/>
                      <w:i/>
                      <w:iCs/>
                      <w:sz w:val="20"/>
                      <w:highlight w:val="none"/>
                    </w:rPr>
                  </m:ctrlPr>
                </m:sub>
                <m:sup>
                  <m:r>
                    <w:rPr>
                      <w:rFonts w:ascii="Cambria Math" w:hAnsi="Cambria Math"/>
                      <w:sz w:val="20"/>
                      <w:highlight w:val="none"/>
                    </w:rPr>
                    <m:t>SL</m:t>
                  </m:r>
                  <m:ctrlPr>
                    <w:rPr>
                      <w:rFonts w:ascii="Cambria Math" w:hAnsi="Cambria Math"/>
                      <w:i/>
                      <w:iCs/>
                      <w:sz w:val="20"/>
                      <w:highlight w:val="none"/>
                    </w:rPr>
                  </m:ctrlPr>
                </m:sup>
              </m:sSubSup>
              <m:r>
                <w:rPr>
                  <w:rFonts w:ascii="Cambria Math" w:hAnsi="Cambria Math"/>
                  <w:sz w:val="20"/>
                  <w:highlight w:val="none"/>
                </w:rPr>
                <m:t xml:space="preserve"> </m:t>
              </m:r>
            </m:oMath>
            <w:r>
              <w:rPr>
                <w:i/>
                <w:iCs/>
                <w:sz w:val="20"/>
                <w:highlight w:val="none"/>
              </w:rPr>
              <w:t> </w:t>
            </w:r>
            <w:r>
              <w:rPr>
                <w:iCs/>
                <w:sz w:val="20"/>
                <w:highlight w:val="none"/>
              </w:rPr>
              <w:t>is defined in slots in Table 8.1.4-2 where</w:t>
            </w:r>
            <w:r>
              <w:rPr>
                <w:i/>
                <w:iCs/>
                <w:sz w:val="20"/>
                <w:highlight w:val="none"/>
              </w:rPr>
              <w:t xml:space="preserve"> </w:t>
            </w:r>
            <m:oMath>
              <m:sSub>
                <m:sSubPr>
                  <m:ctrlPr>
                    <w:rPr>
                      <w:rFonts w:ascii="Cambria Math" w:hAnsi="Cambria Math"/>
                      <w:i/>
                      <w:iCs/>
                      <w:sz w:val="20"/>
                      <w:highlight w:val="none"/>
                    </w:rPr>
                  </m:ctrlPr>
                </m:sSubPr>
                <m:e>
                  <m:r>
                    <w:rPr>
                      <w:rFonts w:ascii="Cambria Math" w:hAnsi="Cambria Math"/>
                      <w:sz w:val="20"/>
                      <w:highlight w:val="none"/>
                    </w:rPr>
                    <m:t>μ</m:t>
                  </m:r>
                  <m:ctrlPr>
                    <w:rPr>
                      <w:rFonts w:ascii="Cambria Math" w:hAnsi="Cambria Math"/>
                      <w:i/>
                      <w:iCs/>
                      <w:sz w:val="20"/>
                      <w:highlight w:val="none"/>
                    </w:rPr>
                  </m:ctrlPr>
                </m:e>
                <m:sub>
                  <m:r>
                    <w:rPr>
                      <w:rFonts w:ascii="Cambria Math" w:hAnsi="Cambria Math"/>
                      <w:sz w:val="20"/>
                      <w:highlight w:val="none"/>
                    </w:rPr>
                    <m:t>SL</m:t>
                  </m:r>
                  <m:ctrlPr>
                    <w:rPr>
                      <w:rFonts w:ascii="Cambria Math" w:hAnsi="Cambria Math"/>
                      <w:i/>
                      <w:iCs/>
                      <w:sz w:val="20"/>
                      <w:highlight w:val="none"/>
                    </w:rPr>
                  </m:ctrlPr>
                </m:sub>
              </m:sSub>
            </m:oMath>
            <w:r>
              <w:rPr>
                <w:i/>
                <w:iCs/>
                <w:sz w:val="20"/>
                <w:highlight w:val="none"/>
              </w:rPr>
              <w:t xml:space="preserve"> </w:t>
            </w:r>
            <w:r>
              <w:rPr>
                <w:iCs/>
                <w:sz w:val="20"/>
                <w:highlight w:val="none"/>
              </w:rPr>
              <w:t>is the SCS configuration of the SL BWP.</w:t>
            </w:r>
          </w:p>
          <w:p>
            <w:pPr>
              <w:pStyle w:val="61"/>
              <w:widowControl w:val="0"/>
              <w:spacing w:before="120" w:after="120"/>
              <w:ind w:left="0" w:firstLine="0"/>
              <w:jc w:val="center"/>
              <w:rPr>
                <w:sz w:val="20"/>
              </w:rPr>
            </w:pPr>
            <w:r>
              <w:rPr>
                <w:b/>
                <w:iCs/>
                <w:color w:val="FF0000"/>
                <w:sz w:val="20"/>
              </w:rPr>
              <w:t>&lt;Unchanged parts are omitted&gt;</w:t>
            </w:r>
          </w:p>
        </w:tc>
      </w:tr>
    </w:tbl>
    <w:p>
      <w:pPr>
        <w:spacing w:before="120" w:after="120"/>
        <w:rPr>
          <w:sz w:val="20"/>
        </w:rPr>
      </w:pPr>
    </w:p>
    <w:p>
      <w:pPr>
        <w:pStyle w:val="3"/>
        <w:spacing w:before="120" w:after="120" w:line="259" w:lineRule="auto"/>
        <w:ind w:left="991" w:right="210" w:hanging="991" w:hangingChars="354"/>
        <w:rPr>
          <w:rFonts w:eastAsia="宋体"/>
          <w:szCs w:val="22"/>
        </w:rPr>
      </w:pPr>
      <w:r>
        <w:rPr>
          <w:rFonts w:hint="eastAsia" w:eastAsia="宋体"/>
          <w:szCs w:val="22"/>
        </w:rPr>
        <w:t>R</w:t>
      </w:r>
      <w:r>
        <w:rPr>
          <w:rFonts w:hint="eastAsia" w:eastAsia="宋体"/>
          <w:szCs w:val="22"/>
          <w:lang w:val="en-GB" w:eastAsia="en-US"/>
        </w:rPr>
        <w:t>e-evaluation with respect to periodic reservation</w:t>
      </w:r>
    </w:p>
    <w:p>
      <w:pPr>
        <w:spacing w:before="120" w:after="120"/>
        <w:rPr>
          <w:sz w:val="20"/>
        </w:rPr>
      </w:pPr>
      <w:r>
        <w:rPr>
          <w:rFonts w:hint="eastAsia"/>
          <w:sz w:val="20"/>
        </w:rPr>
        <w:t xml:space="preserve">In RAN1 #102-e meeting, it is discussed </w:t>
      </w:r>
      <w:r>
        <w:rPr>
          <w:sz w:val="20"/>
        </w:rPr>
        <w:t>how a UE does re-evaluation with respect to periodic reservation</w:t>
      </w:r>
      <w:r>
        <w:rPr>
          <w:rFonts w:hint="eastAsia"/>
          <w:sz w:val="20"/>
        </w:rPr>
        <w:t xml:space="preserve">, and no conclusion has been reached. In </w:t>
      </w:r>
      <w:r>
        <w:rPr>
          <w:rFonts w:hint="eastAsia"/>
          <w:sz w:val="20"/>
          <w:lang w:val="en-US" w:eastAsia="zh-CN"/>
        </w:rPr>
        <w:t xml:space="preserve">that </w:t>
      </w:r>
      <w:r>
        <w:rPr>
          <w:rFonts w:hint="eastAsia"/>
          <w:sz w:val="20"/>
        </w:rPr>
        <w:t>email discussion, the latest p</w:t>
      </w:r>
      <w:r>
        <w:rPr>
          <w:sz w:val="20"/>
        </w:rPr>
        <w:t>roposal</w:t>
      </w:r>
      <w:r>
        <w:rPr>
          <w:rFonts w:hint="eastAsia"/>
          <w:sz w:val="20"/>
        </w:rPr>
        <w:t xml:space="preserve"> </w:t>
      </w:r>
      <w:r>
        <w:rPr>
          <w:rFonts w:hint="eastAsia"/>
          <w:sz w:val="20"/>
          <w:lang w:val="en-US" w:eastAsia="zh-CN"/>
        </w:rPr>
        <w:t>is listed</w:t>
      </w:r>
      <w:r>
        <w:rPr>
          <w:rFonts w:hint="eastAsia"/>
          <w:sz w:val="20"/>
        </w:rPr>
        <w:t xml:space="preserve"> as follows.</w:t>
      </w:r>
    </w:p>
    <w:tbl>
      <w:tblPr>
        <w:tblStyle w:val="23"/>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sz w:val="20"/>
                <w:u w:val="single"/>
              </w:rPr>
            </w:pPr>
            <w:r>
              <w:rPr>
                <w:b/>
                <w:bCs/>
                <w:sz w:val="20"/>
                <w:u w:val="single"/>
              </w:rPr>
              <w:t>Updated Proposal</w:t>
            </w:r>
          </w:p>
          <w:p>
            <w:pPr>
              <w:pStyle w:val="43"/>
              <w:widowControl w:val="0"/>
              <w:numPr>
                <w:ilvl w:val="0"/>
                <w:numId w:val="13"/>
              </w:numPr>
              <w:spacing w:after="120"/>
              <w:ind w:left="726" w:hanging="363"/>
              <w:rPr>
                <w:sz w:val="20"/>
                <w:szCs w:val="20"/>
                <w:highlight w:val="none"/>
              </w:rPr>
            </w:pPr>
            <w:r>
              <w:rPr>
                <w:sz w:val="20"/>
                <w:szCs w:val="20"/>
              </w:rPr>
              <w:t>If periodic reservation is in use by a UE selecting resources, the UE performs re-evaluation procedure at least for resource(s) in the first period after the initial resource re-selection trigger or for resources in non-initial resource re-selection triggered</w:t>
            </w:r>
            <w:r>
              <w:rPr>
                <w:sz w:val="20"/>
                <w:szCs w:val="20"/>
                <w:highlight w:val="none"/>
              </w:rPr>
              <w:t xml:space="preserve"> by pre-emption</w:t>
            </w:r>
          </w:p>
          <w:p>
            <w:pPr>
              <w:pStyle w:val="43"/>
              <w:widowControl w:val="0"/>
              <w:numPr>
                <w:ilvl w:val="0"/>
                <w:numId w:val="13"/>
              </w:numPr>
              <w:spacing w:after="120"/>
              <w:ind w:left="726" w:hanging="363"/>
              <w:rPr>
                <w:sz w:val="20"/>
                <w:szCs w:val="20"/>
                <w:highlight w:val="none"/>
              </w:rPr>
            </w:pPr>
            <w:r>
              <w:rPr>
                <w:sz w:val="20"/>
                <w:szCs w:val="20"/>
                <w:highlight w:val="none"/>
              </w:rPr>
              <w:t>Allow discussion in the next meeting whether re-evaluation in other than the first period is feasible and can be allowed for the UE implementation</w:t>
            </w:r>
          </w:p>
          <w:p>
            <w:pPr>
              <w:pStyle w:val="43"/>
              <w:widowControl w:val="0"/>
              <w:numPr>
                <w:ilvl w:val="0"/>
                <w:numId w:val="13"/>
              </w:numPr>
              <w:spacing w:after="120"/>
              <w:ind w:left="726" w:hanging="363"/>
              <w:rPr>
                <w:sz w:val="20"/>
                <w:szCs w:val="20"/>
              </w:rPr>
            </w:pPr>
            <w:r>
              <w:rPr>
                <w:sz w:val="20"/>
                <w:szCs w:val="20"/>
              </w:rPr>
              <w:t>Note, this is intended to be captured in MAC specification</w:t>
            </w:r>
          </w:p>
          <w:p>
            <w:pPr>
              <w:pStyle w:val="43"/>
              <w:widowControl w:val="0"/>
              <w:numPr>
                <w:ilvl w:val="0"/>
                <w:numId w:val="13"/>
              </w:numPr>
              <w:spacing w:after="120"/>
              <w:ind w:left="726" w:hanging="363"/>
            </w:pPr>
            <w:r>
              <w:rPr>
                <w:sz w:val="20"/>
                <w:szCs w:val="20"/>
              </w:rPr>
              <w:t>Note, the initial resource re-selection trigger refers to the initial (re-)selection triggered according to clause 5.22.1.2 of TS 38.321, except resource re-selection triggered by re-evaluation and pre-emption</w:t>
            </w:r>
          </w:p>
        </w:tc>
      </w:tr>
    </w:tbl>
    <w:p>
      <w:pPr>
        <w:spacing w:before="120" w:after="120"/>
        <w:rPr>
          <w:sz w:val="20"/>
        </w:rPr>
      </w:pPr>
      <w:r>
        <w:rPr>
          <w:rFonts w:hint="eastAsia"/>
          <w:sz w:val="20"/>
        </w:rPr>
        <w:t>For periodic traffic, if re-evaluation is limited to the first period</w:t>
      </w:r>
      <w:r>
        <w:rPr>
          <w:rFonts w:hint="eastAsia"/>
          <w:sz w:val="20"/>
          <w:lang w:val="en-GB"/>
        </w:rPr>
        <w:t xml:space="preserve">, then </w:t>
      </w:r>
      <w:r>
        <w:rPr>
          <w:rFonts w:hint="eastAsia"/>
          <w:sz w:val="20"/>
        </w:rPr>
        <w:t>the</w:t>
      </w:r>
      <w:r>
        <w:rPr>
          <w:rFonts w:hint="eastAsia"/>
          <w:sz w:val="20"/>
          <w:highlight w:val="none"/>
        </w:rPr>
        <w:t xml:space="preserve"> resource conflict</w:t>
      </w:r>
      <w:r>
        <w:rPr>
          <w:rFonts w:hint="eastAsia"/>
          <w:sz w:val="20"/>
          <w:highlight w:val="none"/>
          <w:lang w:val="en-GB"/>
        </w:rPr>
        <w:t xml:space="preserve"> can</w:t>
      </w:r>
      <w:r>
        <w:rPr>
          <w:rFonts w:hint="eastAsia"/>
          <w:sz w:val="20"/>
          <w:highlight w:val="none"/>
          <w:lang w:val="en-US" w:eastAsia="zh-CN"/>
        </w:rPr>
        <w:t>not</w:t>
      </w:r>
      <w:r>
        <w:rPr>
          <w:rFonts w:hint="eastAsia"/>
          <w:sz w:val="20"/>
          <w:highlight w:val="none"/>
          <w:lang w:val="en-GB"/>
        </w:rPr>
        <w:t xml:space="preserve"> be avoided</w:t>
      </w:r>
      <w:r>
        <w:rPr>
          <w:rFonts w:hint="eastAsia"/>
          <w:sz w:val="20"/>
          <w:highlight w:val="none"/>
        </w:rPr>
        <w:t xml:space="preserve"> in the subsequent periods</w:t>
      </w:r>
      <w:r>
        <w:rPr>
          <w:rFonts w:hint="eastAsia"/>
          <w:sz w:val="20"/>
          <w:highlight w:val="none"/>
          <w:lang w:val="en-US" w:eastAsia="zh-CN"/>
        </w:rPr>
        <w:t xml:space="preserve"> even if some resource collisions are detected</w:t>
      </w:r>
      <w:r>
        <w:rPr>
          <w:rFonts w:hint="eastAsia"/>
          <w:sz w:val="20"/>
          <w:highlight w:val="none"/>
        </w:rPr>
        <w:t>. Therefore, it is suggested that re-evaluation in other than the first period should be allowe</w:t>
      </w:r>
      <w:r>
        <w:rPr>
          <w:rFonts w:hint="eastAsia"/>
          <w:sz w:val="20"/>
        </w:rPr>
        <w:t xml:space="preserve">d. </w:t>
      </w:r>
      <w:r>
        <w:rPr>
          <w:rFonts w:hint="eastAsia"/>
          <w:sz w:val="20"/>
          <w:lang w:val="en-US" w:eastAsia="zh-CN"/>
        </w:rPr>
        <w:t>After</w:t>
      </w:r>
      <w:r>
        <w:rPr>
          <w:rFonts w:hint="eastAsia"/>
          <w:sz w:val="20"/>
        </w:rPr>
        <w:t xml:space="preserve"> the first period </w:t>
      </w:r>
      <w:r>
        <w:rPr>
          <w:sz w:val="20"/>
        </w:rPr>
        <w:t>,</w:t>
      </w:r>
      <w:r>
        <w:rPr>
          <w:rFonts w:hint="eastAsia"/>
          <w:sz w:val="20"/>
        </w:rPr>
        <w:t xml:space="preserve"> </w:t>
      </w:r>
      <w:r>
        <w:rPr>
          <w:rFonts w:hint="eastAsia"/>
          <w:sz w:val="20"/>
          <w:lang w:val="en-US" w:eastAsia="zh-CN"/>
        </w:rPr>
        <w:t xml:space="preserve">which </w:t>
      </w:r>
      <w:r>
        <w:rPr>
          <w:rFonts w:hint="eastAsia"/>
          <w:sz w:val="20"/>
        </w:rPr>
        <w:t xml:space="preserve">period </w:t>
      </w:r>
      <w:r>
        <w:rPr>
          <w:rFonts w:hint="eastAsia"/>
          <w:sz w:val="20"/>
          <w:lang w:val="en-US" w:eastAsia="zh-CN"/>
        </w:rPr>
        <w:t xml:space="preserve">to perform </w:t>
      </w:r>
      <w:r>
        <w:rPr>
          <w:rFonts w:hint="eastAsia"/>
          <w:sz w:val="20"/>
        </w:rPr>
        <w:t>re</w:t>
      </w:r>
      <w:r>
        <w:rPr>
          <w:rFonts w:hint="eastAsia"/>
          <w:sz w:val="20"/>
          <w:lang w:val="en-US" w:eastAsia="zh-CN"/>
        </w:rPr>
        <w:t>-e</w:t>
      </w:r>
      <w:r>
        <w:rPr>
          <w:rFonts w:hint="eastAsia"/>
          <w:sz w:val="20"/>
        </w:rPr>
        <w:t>valuation can be up to UE implementation.</w:t>
      </w:r>
    </w:p>
    <w:p>
      <w:pPr>
        <w:pStyle w:val="36"/>
        <w:spacing w:before="120" w:after="120" w:line="260" w:lineRule="auto"/>
        <w:jc w:val="both"/>
        <w:rPr>
          <w:szCs w:val="22"/>
          <w:lang w:val="en-US" w:eastAsia="zh-CN"/>
        </w:rPr>
      </w:pPr>
      <w:bookmarkStart w:id="2" w:name="_Toc14101"/>
      <w:bookmarkStart w:id="3" w:name="_Toc10502"/>
      <w:r>
        <w:rPr>
          <w:rFonts w:hint="eastAsia"/>
          <w:szCs w:val="22"/>
          <w:lang w:val="en-US" w:eastAsia="zh-CN"/>
        </w:rPr>
        <w:t>For periodic traffic, re-evaluation in other than the first period should be allowed.</w:t>
      </w:r>
      <w:bookmarkEnd w:id="2"/>
      <w:bookmarkEnd w:id="3"/>
    </w:p>
    <w:p>
      <w:pPr>
        <w:spacing w:before="120" w:after="120"/>
        <w:rPr>
          <w:rFonts w:hint="default"/>
          <w:color w:val="auto"/>
          <w:sz w:val="20"/>
          <w:szCs w:val="22"/>
          <w:u w:val="none"/>
          <w:lang w:val="en-US" w:eastAsia="zh-CN"/>
        </w:rPr>
      </w:pPr>
      <w:r>
        <w:rPr>
          <w:rFonts w:hint="eastAsia"/>
          <w:sz w:val="20"/>
        </w:rPr>
        <w:t xml:space="preserve">In </w:t>
      </w:r>
      <w:r>
        <w:rPr>
          <w:rFonts w:hint="eastAsia"/>
          <w:sz w:val="20"/>
          <w:lang w:val="en-GB"/>
        </w:rPr>
        <w:t>ste</w:t>
      </w:r>
      <w:r>
        <w:rPr>
          <w:rFonts w:hint="eastAsia"/>
          <w:sz w:val="20"/>
          <w:lang w:val="en-GB" w:eastAsia="ko-KR"/>
        </w:rPr>
        <w:t>p 5)</w:t>
      </w:r>
      <w:r>
        <w:rPr>
          <w:rFonts w:hint="eastAsia"/>
          <w:sz w:val="20"/>
        </w:rPr>
        <w:t xml:space="preserve"> i</w:t>
      </w:r>
      <w:r>
        <w:rPr>
          <w:rFonts w:hint="eastAsia"/>
          <w:sz w:val="20"/>
          <w:lang w:val="en-GB" w:eastAsia="ko-KR"/>
        </w:rPr>
        <w:t xml:space="preserve">n the section 8.1.4 of 38.214, </w:t>
      </w:r>
      <w:r>
        <w:rPr>
          <w:sz w:val="20"/>
        </w:rPr>
        <w:t>i</w:t>
      </w:r>
      <w:r>
        <w:rPr>
          <w:rFonts w:hint="eastAsia"/>
          <w:sz w:val="20"/>
        </w:rPr>
        <w:t xml:space="preserve">t is assumed that </w:t>
      </w:r>
      <w:r>
        <w:rPr>
          <w:rFonts w:hint="eastAsia"/>
          <w:sz w:val="20"/>
          <w:lang w:val="en-GB" w:eastAsia="ko-KR"/>
        </w:rPr>
        <w:t xml:space="preserve">hypothetical SCI received in </w:t>
      </w:r>
      <w:r>
        <w:rPr>
          <w:rFonts w:hint="eastAsia"/>
          <w:sz w:val="20"/>
          <w:lang w:val="en-US" w:eastAsia="zh-CN"/>
        </w:rPr>
        <w:t xml:space="preserve">the </w:t>
      </w:r>
      <w:r>
        <w:rPr>
          <w:rFonts w:hint="eastAsia"/>
          <w:sz w:val="20"/>
          <w:lang w:val="en-GB" w:eastAsia="ko-KR"/>
        </w:rPr>
        <w:t xml:space="preserve">slot </w:t>
      </w:r>
      <w:r>
        <w:rPr>
          <w:rFonts w:hint="eastAsia"/>
          <w:sz w:val="20"/>
          <w:lang w:val="en-US" w:eastAsia="zh-CN"/>
        </w:rPr>
        <w:t xml:space="preserve">which is </w:t>
      </w:r>
      <w:r>
        <w:rPr>
          <w:rFonts w:hint="eastAsia"/>
          <w:sz w:val="20"/>
          <w:lang w:val="en-GB" w:eastAsia="ko-KR"/>
        </w:rPr>
        <w:t>n</w:t>
      </w:r>
      <w:r>
        <w:rPr>
          <w:rFonts w:hint="eastAsia"/>
          <w:sz w:val="20"/>
          <w:highlight w:val="none"/>
          <w:lang w:val="en-GB" w:eastAsia="ko-KR"/>
        </w:rPr>
        <w:t>ot-monitored</w:t>
      </w:r>
      <w:r>
        <w:rPr>
          <w:rFonts w:hint="eastAsia"/>
          <w:sz w:val="20"/>
          <w:highlight w:val="none"/>
        </w:rPr>
        <w:t xml:space="preserve"> indicate</w:t>
      </w:r>
      <w:r>
        <w:rPr>
          <w:rFonts w:hint="eastAsia"/>
          <w:sz w:val="20"/>
          <w:highlight w:val="none"/>
          <w:lang w:val="en-US" w:eastAsia="zh-CN"/>
        </w:rPr>
        <w:t>s</w:t>
      </w:r>
      <w:r>
        <w:rPr>
          <w:rFonts w:hint="eastAsia"/>
          <w:sz w:val="20"/>
          <w:highlight w:val="none"/>
        </w:rPr>
        <w:t xml:space="preserve"> </w:t>
      </w:r>
      <w:r>
        <w:rPr>
          <w:rFonts w:hint="eastAsia"/>
          <w:sz w:val="20"/>
          <w:highlight w:val="none"/>
          <w:lang w:val="en-US" w:eastAsia="zh-CN"/>
        </w:rPr>
        <w:t xml:space="preserve">a set of </w:t>
      </w:r>
      <w:r>
        <w:rPr>
          <w:rFonts w:hint="eastAsia"/>
          <w:sz w:val="20"/>
          <w:highlight w:val="none"/>
        </w:rPr>
        <w:t xml:space="preserve">reserved resources based on </w:t>
      </w:r>
      <w:r>
        <w:rPr>
          <w:rFonts w:hint="eastAsia"/>
          <w:sz w:val="20"/>
          <w:highlight w:val="none"/>
          <w:lang w:val="en-GB" w:eastAsia="ko-KR"/>
        </w:rPr>
        <w:t>any periodicity value allowed by the higher layer parameter sl-ResourceReservePeriodLis</w:t>
      </w:r>
      <w:r>
        <w:rPr>
          <w:rFonts w:hint="eastAsia"/>
          <w:sz w:val="20"/>
          <w:lang w:val="en-GB" w:eastAsia="ko-KR"/>
        </w:rPr>
        <w:t>t</w:t>
      </w:r>
      <w:r>
        <w:rPr>
          <w:rFonts w:hint="eastAsia"/>
          <w:sz w:val="20"/>
        </w:rPr>
        <w:t xml:space="preserve">. </w:t>
      </w:r>
      <w:r>
        <w:rPr>
          <w:rFonts w:hint="eastAsia"/>
          <w:sz w:val="20"/>
          <w:lang w:val="en-US" w:eastAsia="zh-CN"/>
        </w:rPr>
        <w:t>One example</w:t>
      </w:r>
      <w:r>
        <w:rPr>
          <w:rFonts w:hint="eastAsia"/>
          <w:sz w:val="20"/>
        </w:rPr>
        <w:t xml:space="preserve">, </w:t>
      </w:r>
      <w:r>
        <w:rPr>
          <w:rFonts w:hint="eastAsia"/>
          <w:sz w:val="20"/>
          <w:lang w:val="en-US" w:eastAsia="zh-CN"/>
        </w:rPr>
        <w:t xml:space="preserve">for re-evaluation if other than first period re-evaluation is supported for periodic traffic, </w:t>
      </w:r>
      <w:r>
        <w:rPr>
          <w:rFonts w:hint="eastAsia"/>
          <w:sz w:val="20"/>
          <w:lang w:val="en-GB"/>
        </w:rPr>
        <w:t xml:space="preserve">UE will exclude the </w:t>
      </w:r>
      <w:r>
        <w:rPr>
          <w:rFonts w:hint="eastAsia"/>
          <w:sz w:val="20"/>
          <w:lang w:val="en-US" w:eastAsia="zh-CN"/>
        </w:rPr>
        <w:t xml:space="preserve">resources </w:t>
      </w:r>
      <w:r>
        <w:rPr>
          <w:rFonts w:hint="eastAsia"/>
          <w:sz w:val="20"/>
          <w:lang w:val="en-GB"/>
        </w:rPr>
        <w:t xml:space="preserve">which </w:t>
      </w:r>
      <w:r>
        <w:rPr>
          <w:rFonts w:hint="eastAsia"/>
          <w:sz w:val="20"/>
          <w:lang w:val="en-US" w:eastAsia="zh-CN"/>
        </w:rPr>
        <w:t>are</w:t>
      </w:r>
      <w:r>
        <w:rPr>
          <w:rFonts w:hint="eastAsia"/>
          <w:sz w:val="20"/>
          <w:lang w:val="en-GB"/>
        </w:rPr>
        <w:t xml:space="preserve"> </w:t>
      </w:r>
      <w:r>
        <w:rPr>
          <w:rFonts w:hint="eastAsia"/>
          <w:sz w:val="20"/>
          <w:lang w:val="en-US" w:eastAsia="zh-CN"/>
        </w:rPr>
        <w:t xml:space="preserve">overlapped with the </w:t>
      </w:r>
      <w:r>
        <w:rPr>
          <w:rFonts w:hint="eastAsia"/>
          <w:sz w:val="20"/>
          <w:highlight w:val="none"/>
          <w:lang w:val="en-US" w:eastAsia="zh-CN"/>
        </w:rPr>
        <w:t xml:space="preserve">set of </w:t>
      </w:r>
      <w:r>
        <w:rPr>
          <w:rFonts w:hint="eastAsia"/>
          <w:sz w:val="20"/>
          <w:highlight w:val="none"/>
        </w:rPr>
        <w:t>reserved resources</w:t>
      </w:r>
      <w:r>
        <w:rPr>
          <w:rFonts w:hint="eastAsia"/>
          <w:sz w:val="20"/>
          <w:highlight w:val="none"/>
          <w:lang w:val="en-US" w:eastAsia="zh-CN"/>
        </w:rPr>
        <w:t xml:space="preserve"> evaluated in step 5 due to </w:t>
      </w:r>
      <w:r>
        <w:rPr>
          <w:rFonts w:hint="eastAsia"/>
          <w:sz w:val="20"/>
          <w:lang w:val="en-US" w:eastAsia="zh-CN"/>
        </w:rPr>
        <w:t xml:space="preserve">itself </w:t>
      </w:r>
      <w:r>
        <w:rPr>
          <w:rFonts w:hint="eastAsia"/>
          <w:sz w:val="20"/>
          <w:lang w:val="en-GB"/>
        </w:rPr>
        <w:t>transmission</w:t>
      </w:r>
      <w:r>
        <w:rPr>
          <w:rFonts w:hint="eastAsia"/>
          <w:sz w:val="20"/>
          <w:lang w:val="en-US" w:eastAsia="zh-CN"/>
        </w:rPr>
        <w:t>s</w:t>
      </w:r>
      <w:r>
        <w:rPr>
          <w:rFonts w:hint="eastAsia"/>
          <w:sz w:val="20"/>
          <w:lang w:val="en-GB"/>
        </w:rPr>
        <w:t xml:space="preserve"> in previous</w:t>
      </w:r>
      <w:r>
        <w:rPr>
          <w:rFonts w:hint="eastAsia"/>
          <w:sz w:val="20"/>
        </w:rPr>
        <w:t>.</w:t>
      </w:r>
      <w:r>
        <w:rPr>
          <w:rFonts w:hint="eastAsia"/>
          <w:sz w:val="20"/>
          <w:lang w:val="en-US" w:eastAsia="zh-CN"/>
        </w:rPr>
        <w:t xml:space="preserve"> </w:t>
      </w:r>
      <w:r>
        <w:rPr>
          <w:rFonts w:hint="eastAsia"/>
          <w:color w:val="auto"/>
          <w:sz w:val="20"/>
          <w:szCs w:val="22"/>
          <w:u w:val="none"/>
          <w:lang w:val="en-US" w:eastAsia="zh-CN"/>
        </w:rPr>
        <w:t>This would lead to a false judgment that t</w:t>
      </w:r>
      <w:r>
        <w:rPr>
          <w:rFonts w:hint="eastAsia"/>
          <w:sz w:val="20"/>
          <w:lang w:val="en-US" w:eastAsia="zh-CN"/>
        </w:rPr>
        <w:t>he current grant will be interrupted.</w:t>
      </w:r>
      <w:r>
        <w:rPr>
          <w:rFonts w:hint="eastAsia"/>
          <w:sz w:val="20"/>
        </w:rPr>
        <w:t xml:space="preserve"> </w:t>
      </w:r>
      <w:r>
        <w:rPr>
          <w:rFonts w:hint="eastAsia"/>
          <w:sz w:val="20"/>
          <w:lang w:val="en-US" w:eastAsia="zh-CN"/>
        </w:rPr>
        <w:t>A</w:t>
      </w:r>
      <w:r>
        <w:rPr>
          <w:rFonts w:hint="eastAsia"/>
          <w:sz w:val="20"/>
        </w:rPr>
        <w:t>nother</w:t>
      </w:r>
      <w:r>
        <w:rPr>
          <w:rFonts w:hint="eastAsia"/>
          <w:sz w:val="20"/>
          <w:lang w:val="en-US" w:eastAsia="zh-CN"/>
        </w:rPr>
        <w:t xml:space="preserve"> example,</w:t>
      </w:r>
      <w:r>
        <w:rPr>
          <w:rFonts w:hint="eastAsia"/>
          <w:color w:val="auto"/>
          <w:sz w:val="20"/>
          <w:szCs w:val="22"/>
          <w:u w:val="none"/>
          <w:lang w:val="en-US" w:eastAsia="zh-CN"/>
        </w:rPr>
        <w:t xml:space="preserve"> two parallel processes are ongoing</w:t>
      </w:r>
      <w:bookmarkStart w:id="18" w:name="_GoBack"/>
      <w:bookmarkEnd w:id="18"/>
      <w:r>
        <w:rPr>
          <w:rFonts w:hint="eastAsia"/>
          <w:color w:val="auto"/>
          <w:sz w:val="20"/>
          <w:szCs w:val="22"/>
          <w:u w:val="none"/>
          <w:lang w:val="en-US" w:eastAsia="zh-CN"/>
        </w:rPr>
        <w:t>, assuming one of the transmissions of the first process(Process 1) is on slot K. To perform re-evaluation for the second process(Process 2),</w:t>
      </w:r>
      <w:r>
        <w:rPr>
          <w:rFonts w:hint="eastAsia"/>
          <w:color w:val="auto"/>
          <w:sz w:val="20"/>
          <w:szCs w:val="22"/>
          <w:u w:val="none"/>
        </w:rPr>
        <w:t xml:space="preserve"> </w:t>
      </w:r>
      <w:r>
        <w:rPr>
          <w:rFonts w:hint="eastAsia"/>
          <w:color w:val="auto"/>
          <w:sz w:val="20"/>
          <w:szCs w:val="22"/>
          <w:u w:val="none"/>
          <w:lang w:val="en-US" w:eastAsia="zh-CN"/>
        </w:rPr>
        <w:t xml:space="preserve">in </w:t>
      </w:r>
      <w:r>
        <w:rPr>
          <w:rFonts w:hint="eastAsia"/>
          <w:color w:val="auto"/>
          <w:sz w:val="20"/>
          <w:szCs w:val="22"/>
          <w:u w:val="none"/>
        </w:rPr>
        <w:t>step 5</w:t>
      </w:r>
      <w:r>
        <w:rPr>
          <w:rFonts w:hint="eastAsia"/>
          <w:color w:val="auto"/>
          <w:sz w:val="20"/>
          <w:szCs w:val="22"/>
          <w:u w:val="none"/>
          <w:lang w:val="en-US" w:eastAsia="zh-CN"/>
        </w:rPr>
        <w:t xml:space="preserve"> the UE assumes that the hypothetical SCI in slot K indicates reservation with all of configured periods Pj, if the resources reserved by the hypothetical SCI with period Pj conflict with the resources subjected to re-evaluation for Process 2 in the K + Pj slot, the UE will report the resource which is indicated for re-evaluation, unnecessary resource re-selection will be triggered.</w:t>
      </w:r>
    </w:p>
    <w:p>
      <w:pPr>
        <w:spacing w:before="120" w:after="120"/>
        <w:rPr>
          <w:rFonts w:hint="default"/>
          <w:color w:val="auto"/>
          <w:sz w:val="20"/>
          <w:szCs w:val="22"/>
          <w:u w:val="none"/>
          <w:lang w:val="en-US" w:eastAsia="zh-CN"/>
        </w:rPr>
      </w:pPr>
      <w:r>
        <w:rPr>
          <w:rFonts w:hint="eastAsia"/>
          <w:color w:val="auto"/>
          <w:sz w:val="20"/>
          <w:szCs w:val="22"/>
          <w:u w:val="none"/>
          <w:lang w:val="en-US" w:eastAsia="zh-CN"/>
        </w:rPr>
        <w:t>For pre-emption, there is not available priority of the resources excluded in step 5, so here this step is not necessary.</w:t>
      </w:r>
    </w:p>
    <w:p>
      <w:pPr>
        <w:spacing w:before="120" w:after="120"/>
        <w:rPr>
          <w:rFonts w:hint="eastAsia" w:eastAsia="宋体"/>
          <w:color w:val="auto"/>
          <w:sz w:val="20"/>
          <w:lang w:eastAsia="zh-CN"/>
        </w:rPr>
      </w:pPr>
      <w:r>
        <w:rPr>
          <w:rFonts w:hint="eastAsia"/>
          <w:color w:val="auto"/>
          <w:sz w:val="20"/>
          <w:szCs w:val="22"/>
          <w:u w:val="none"/>
          <w:lang w:val="en-US" w:eastAsia="zh-CN"/>
        </w:rPr>
        <w:t xml:space="preserve">Considering the above problems in re-evaluation/pre-emption caused by step 5, </w:t>
      </w:r>
      <w:r>
        <w:rPr>
          <w:rFonts w:hint="eastAsia"/>
          <w:color w:val="auto"/>
          <w:sz w:val="20"/>
          <w:szCs w:val="22"/>
          <w:u w:val="none"/>
        </w:rPr>
        <w:t xml:space="preserve">it is suggested that </w:t>
      </w:r>
      <w:r>
        <w:rPr>
          <w:rFonts w:hint="eastAsia"/>
          <w:color w:val="auto"/>
          <w:sz w:val="20"/>
          <w:szCs w:val="22"/>
          <w:u w:val="none"/>
          <w:lang w:val="en-US" w:eastAsia="zh-CN"/>
        </w:rPr>
        <w:t xml:space="preserve">step 5 is not performed in the </w:t>
      </w:r>
      <w:r>
        <w:rPr>
          <w:rFonts w:hint="eastAsia"/>
          <w:color w:val="auto"/>
          <w:sz w:val="20"/>
          <w:szCs w:val="22"/>
          <w:u w:val="none"/>
        </w:rPr>
        <w:t>re-evaluation</w:t>
      </w:r>
      <w:r>
        <w:rPr>
          <w:rFonts w:hint="eastAsia"/>
          <w:color w:val="auto"/>
          <w:sz w:val="20"/>
          <w:szCs w:val="22"/>
          <w:u w:val="none"/>
          <w:lang w:val="en-US" w:eastAsia="zh-CN"/>
        </w:rPr>
        <w:t>/pre-emption</w:t>
      </w:r>
      <w:r>
        <w:rPr>
          <w:rFonts w:hint="eastAsia"/>
          <w:color w:val="auto"/>
          <w:sz w:val="20"/>
          <w:szCs w:val="22"/>
          <w:u w:val="none"/>
        </w:rPr>
        <w:t xml:space="preserve"> procedure</w:t>
      </w:r>
      <w:r>
        <w:rPr>
          <w:rFonts w:hint="eastAsia"/>
          <w:color w:val="auto"/>
          <w:sz w:val="20"/>
          <w:szCs w:val="22"/>
          <w:u w:val="none"/>
          <w:lang w:val="en-US" w:eastAsia="zh-CN"/>
        </w:rPr>
        <w:t>.</w:t>
      </w:r>
    </w:p>
    <w:p>
      <w:pPr>
        <w:pStyle w:val="36"/>
        <w:spacing w:before="120" w:after="120" w:line="260" w:lineRule="auto"/>
        <w:jc w:val="both"/>
        <w:rPr>
          <w:color w:val="auto"/>
          <w:highlight w:val="none"/>
          <w:u w:val="none"/>
          <w:lang w:val="en-US" w:eastAsia="zh-CN"/>
        </w:rPr>
      </w:pPr>
      <w:bookmarkStart w:id="4" w:name="_Toc1490"/>
      <w:bookmarkStart w:id="5" w:name="_Toc3773"/>
      <w:r>
        <w:rPr>
          <w:rFonts w:hint="eastAsia"/>
          <w:color w:val="auto"/>
          <w:sz w:val="20"/>
          <w:szCs w:val="22"/>
          <w:highlight w:val="none"/>
          <w:u w:val="none"/>
          <w:lang w:val="en-US" w:eastAsia="zh-CN"/>
        </w:rPr>
        <w:t xml:space="preserve">Step 5 is not performed in the </w:t>
      </w:r>
      <w:r>
        <w:rPr>
          <w:rFonts w:hint="eastAsia"/>
          <w:color w:val="auto"/>
          <w:sz w:val="20"/>
          <w:szCs w:val="22"/>
          <w:highlight w:val="none"/>
          <w:u w:val="none"/>
        </w:rPr>
        <w:t>re-evaluation</w:t>
      </w:r>
      <w:r>
        <w:rPr>
          <w:rFonts w:hint="eastAsia"/>
          <w:color w:val="auto"/>
          <w:sz w:val="20"/>
          <w:szCs w:val="22"/>
          <w:highlight w:val="none"/>
          <w:u w:val="none"/>
          <w:lang w:val="en-US" w:eastAsia="zh-CN"/>
        </w:rPr>
        <w:t>/pre-emption</w:t>
      </w:r>
      <w:r>
        <w:rPr>
          <w:rFonts w:hint="eastAsia"/>
          <w:color w:val="auto"/>
          <w:sz w:val="20"/>
          <w:szCs w:val="22"/>
          <w:highlight w:val="none"/>
          <w:u w:val="none"/>
        </w:rPr>
        <w:t xml:space="preserve"> procedure</w:t>
      </w:r>
      <w:r>
        <w:rPr>
          <w:rFonts w:hint="eastAsia"/>
          <w:color w:val="auto"/>
          <w:sz w:val="20"/>
          <w:szCs w:val="22"/>
          <w:highlight w:val="none"/>
          <w:u w:val="none"/>
          <w:lang w:val="en-US" w:eastAsia="zh-CN"/>
        </w:rPr>
        <w:t>.</w:t>
      </w:r>
      <w:bookmarkEnd w:id="4"/>
      <w:bookmarkEnd w:id="5"/>
    </w:p>
    <w:p>
      <w:pPr>
        <w:pStyle w:val="3"/>
        <w:spacing w:before="120" w:after="120" w:line="259" w:lineRule="auto"/>
        <w:ind w:left="991" w:right="210" w:hanging="991" w:hangingChars="354"/>
        <w:rPr>
          <w:rFonts w:eastAsia="宋体"/>
          <w:szCs w:val="22"/>
          <w:highlight w:val="none"/>
        </w:rPr>
      </w:pPr>
      <w:r>
        <w:rPr>
          <w:rFonts w:hint="eastAsia" w:eastAsia="宋体"/>
          <w:color w:val="auto"/>
          <w:szCs w:val="22"/>
          <w:highlight w:val="none"/>
          <w:u w:val="none"/>
          <w:lang w:val="en-US" w:eastAsia="zh-CN"/>
        </w:rPr>
        <w:t>Correction</w:t>
      </w:r>
      <w:r>
        <w:rPr>
          <w:rFonts w:hint="eastAsia" w:eastAsia="宋体"/>
          <w:szCs w:val="22"/>
          <w:highlight w:val="none"/>
          <w:lang w:val="en-US" w:eastAsia="zh-CN"/>
        </w:rPr>
        <w:t xml:space="preserve"> of</w:t>
      </w:r>
      <w:r>
        <w:rPr>
          <w:rFonts w:hint="eastAsia" w:eastAsia="宋体"/>
          <w:szCs w:val="22"/>
          <w:highlight w:val="none"/>
        </w:rPr>
        <w:t xml:space="preserve"> </w:t>
      </w:r>
      <w:r>
        <w:rPr>
          <w:rFonts w:hint="eastAsia" w:eastAsia="宋体"/>
          <w:szCs w:val="22"/>
          <w:highlight w:val="none"/>
          <w:lang w:eastAsia="ko-KR"/>
        </w:rPr>
        <w:t xml:space="preserve">slots </w:t>
      </w:r>
      <m:oMath>
        <m:r>
          <m:rPr>
            <m:sty m:val="p"/>
          </m:rPr>
          <w:rPr>
            <w:rFonts w:hint="eastAsia" w:ascii="Cambria Math" w:hAnsi="Cambria Math" w:eastAsia="宋体"/>
            <w:szCs w:val="22"/>
            <w:highlight w:val="none"/>
            <w:lang w:eastAsia="ko-KR"/>
          </w:rPr>
          <m:t>{</m:t>
        </m:r>
        <m:sSubSup>
          <m:sSubSupPr>
            <m:ctrlPr>
              <w:rPr>
                <w:rFonts w:hint="eastAsia" w:ascii="Cambria Math" w:hAnsi="Cambria Math" w:eastAsia="宋体"/>
                <w:szCs w:val="22"/>
                <w:highlight w:val="none"/>
                <w:lang w:eastAsia="en-GB"/>
              </w:rPr>
            </m:ctrlPr>
          </m:sSubSupPr>
          <m:e>
            <m:r>
              <m:rPr>
                <m:sty m:val="p"/>
              </m:rPr>
              <w:rPr>
                <w:rFonts w:hint="eastAsia" w:ascii="Cambria Math" w:hAnsi="Cambria Math" w:eastAsia="宋体"/>
                <w:szCs w:val="22"/>
                <w:highlight w:val="none"/>
                <w:lang w:eastAsia="en-GB"/>
              </w:rPr>
              <m:t>t</m:t>
            </m:r>
            <m:ctrlPr>
              <w:rPr>
                <w:rFonts w:hint="eastAsia" w:ascii="Cambria Math" w:hAnsi="Cambria Math" w:eastAsia="宋体"/>
                <w:szCs w:val="22"/>
                <w:highlight w:val="none"/>
                <w:lang w:eastAsia="en-GB"/>
              </w:rPr>
            </m:ctrlPr>
          </m:e>
          <m:sub>
            <m:r>
              <m:rPr>
                <m:sty m:val="p"/>
              </m:rPr>
              <w:rPr>
                <w:rFonts w:hint="eastAsia" w:ascii="Cambria Math" w:hAnsi="Cambria Math" w:eastAsia="宋体"/>
                <w:szCs w:val="22"/>
                <w:highlight w:val="none"/>
                <w:lang w:eastAsia="en-GB"/>
              </w:rPr>
              <m:t>y</m:t>
            </m:r>
            <m:ctrlPr>
              <w:rPr>
                <w:rFonts w:hint="eastAsia" w:ascii="Cambria Math" w:hAnsi="Cambria Math" w:eastAsia="宋体"/>
                <w:szCs w:val="22"/>
                <w:highlight w:val="none"/>
                <w:lang w:eastAsia="en-GB"/>
              </w:rPr>
            </m:ctrlPr>
          </m:sub>
          <m:sup>
            <m:r>
              <m:rPr>
                <m:sty m:val="p"/>
              </m:rPr>
              <w:rPr>
                <w:rFonts w:hint="eastAsia" w:ascii="Cambria Math" w:hAnsi="Cambria Math" w:eastAsia="宋体"/>
                <w:szCs w:val="22"/>
                <w:highlight w:val="none"/>
                <w:lang w:eastAsia="en-GB"/>
              </w:rPr>
              <m:t>SL</m:t>
            </m:r>
            <m:ctrlPr>
              <w:rPr>
                <w:rFonts w:hint="eastAsia" w:ascii="Cambria Math" w:hAnsi="Cambria Math" w:eastAsia="宋体"/>
                <w:szCs w:val="22"/>
                <w:highlight w:val="none"/>
                <w:lang w:eastAsia="en-GB"/>
              </w:rPr>
            </m:ctrlPr>
          </m:sup>
        </m:sSubSup>
        <m:r>
          <m:rPr>
            <m:sty m:val="p"/>
          </m:rPr>
          <w:rPr>
            <w:rFonts w:hint="eastAsia" w:ascii="Cambria Math" w:hAnsi="Cambria Math" w:eastAsia="宋体"/>
            <w:szCs w:val="22"/>
            <w:highlight w:val="none"/>
            <w:lang w:eastAsia="en-GB"/>
          </w:rPr>
          <m:t>}</m:t>
        </m:r>
      </m:oMath>
    </w:p>
    <w:p>
      <w:pPr>
        <w:pStyle w:val="46"/>
        <w:spacing w:before="120" w:after="120" w:afterAutospacing="0" w:line="276" w:lineRule="auto"/>
        <w:ind w:firstLine="0"/>
        <w:rPr>
          <w:rFonts w:eastAsia="DengXian"/>
          <w:iCs/>
          <w:sz w:val="20"/>
          <w:szCs w:val="22"/>
        </w:rPr>
      </w:pPr>
      <w:r>
        <w:rPr>
          <w:rFonts w:eastAsia="DengXian"/>
          <w:iCs/>
          <w:sz w:val="20"/>
          <w:szCs w:val="22"/>
          <w:lang w:eastAsia="ko-KR"/>
        </w:rPr>
        <w:t xml:space="preserve">The section 16.4 in 38.213 refers to </w:t>
      </w:r>
      <m:oMath>
        <m:d>
          <m:dPr>
            <m:ctrlPr>
              <w:rPr>
                <w:rFonts w:ascii="Cambria Math" w:hAnsi="Cambria Math" w:eastAsia="DengXian"/>
                <w:iCs/>
                <w:sz w:val="20"/>
                <w:szCs w:val="22"/>
                <w:lang w:eastAsia="ko-KR"/>
              </w:rPr>
            </m:ctrlPr>
          </m:dPr>
          <m:e>
            <m:sSubSup>
              <m:sSubSupPr>
                <m:ctrlPr>
                  <w:rPr>
                    <w:rFonts w:ascii="Cambria Math" w:hAnsi="Cambria Math" w:eastAsia="DengXian"/>
                    <w:iCs/>
                    <w:sz w:val="20"/>
                    <w:szCs w:val="22"/>
                    <w:lang w:eastAsia="ko-KR"/>
                  </w:rPr>
                </m:ctrlPr>
              </m:sSubSupPr>
              <m:e>
                <m:r>
                  <m:rPr>
                    <m:sty m:val="p"/>
                  </m:rPr>
                  <w:rPr>
                    <w:rFonts w:ascii="Cambria Math" w:hAnsi="Cambria Math" w:eastAsia="DengXian"/>
                    <w:sz w:val="20"/>
                    <w:szCs w:val="22"/>
                    <w:lang w:eastAsia="ko-KR"/>
                  </w:rPr>
                  <m:t>t'</m:t>
                </m:r>
                <m:ctrlPr>
                  <w:rPr>
                    <w:rFonts w:ascii="Cambria Math" w:hAnsi="Cambria Math" w:eastAsia="DengXian"/>
                    <w:iCs/>
                    <w:sz w:val="20"/>
                    <w:szCs w:val="22"/>
                    <w:lang w:eastAsia="ko-KR"/>
                  </w:rPr>
                </m:ctrlPr>
              </m:e>
              <m:sub>
                <m:r>
                  <m:rPr>
                    <m:sty m:val="p"/>
                  </m:rPr>
                  <w:rPr>
                    <w:rFonts w:ascii="Cambria Math" w:hAnsi="Cambria Math" w:eastAsia="DengXian"/>
                    <w:sz w:val="20"/>
                    <w:szCs w:val="22"/>
                    <w:lang w:eastAsia="ko-KR"/>
                  </w:rPr>
                  <m:t>0</m:t>
                </m:r>
                <m:ctrlPr>
                  <w:rPr>
                    <w:rFonts w:ascii="Cambria Math" w:hAnsi="Cambria Math" w:eastAsia="DengXian"/>
                    <w:iCs/>
                    <w:sz w:val="20"/>
                    <w:szCs w:val="22"/>
                    <w:lang w:eastAsia="ko-KR"/>
                  </w:rPr>
                </m:ctrlPr>
              </m:sub>
              <m:sup>
                <m:r>
                  <m:rPr>
                    <m:sty m:val="p"/>
                  </m:rPr>
                  <w:rPr>
                    <w:rFonts w:ascii="Cambria Math" w:hAnsi="Cambria Math" w:eastAsia="DengXian"/>
                    <w:sz w:val="20"/>
                    <w:szCs w:val="22"/>
                    <w:lang w:eastAsia="ko-KR"/>
                  </w:rPr>
                  <m:t>SL</m:t>
                </m:r>
                <m:ctrlPr>
                  <w:rPr>
                    <w:rFonts w:ascii="Cambria Math" w:hAnsi="Cambria Math" w:eastAsia="DengXian"/>
                    <w:iCs/>
                    <w:sz w:val="20"/>
                    <w:szCs w:val="22"/>
                    <w:lang w:eastAsia="ko-KR"/>
                  </w:rPr>
                </m:ctrlPr>
              </m:sup>
            </m:sSubSup>
            <m:r>
              <m:rPr>
                <m:sty m:val="p"/>
              </m:rPr>
              <w:rPr>
                <w:rFonts w:ascii="Cambria Math" w:hAnsi="Cambria Math" w:eastAsia="DengXian"/>
                <w:sz w:val="20"/>
                <w:szCs w:val="22"/>
                <w:lang w:eastAsia="ko-KR"/>
              </w:rPr>
              <m:t>,</m:t>
            </m:r>
            <m:sSubSup>
              <m:sSubSupPr>
                <m:ctrlPr>
                  <w:rPr>
                    <w:rFonts w:ascii="Cambria Math" w:hAnsi="Cambria Math" w:eastAsia="DengXian"/>
                    <w:iCs/>
                    <w:sz w:val="20"/>
                    <w:szCs w:val="22"/>
                    <w:lang w:eastAsia="ko-KR"/>
                  </w:rPr>
                </m:ctrlPr>
              </m:sSubSupPr>
              <m:e>
                <m:r>
                  <m:rPr>
                    <m:sty m:val="p"/>
                  </m:rPr>
                  <w:rPr>
                    <w:rFonts w:ascii="Cambria Math" w:hAnsi="Cambria Math" w:eastAsia="DengXian"/>
                    <w:sz w:val="20"/>
                    <w:szCs w:val="22"/>
                    <w:lang w:eastAsia="ko-KR"/>
                  </w:rPr>
                  <m:t>t'</m:t>
                </m:r>
                <m:ctrlPr>
                  <w:rPr>
                    <w:rFonts w:ascii="Cambria Math" w:hAnsi="Cambria Math" w:eastAsia="DengXian"/>
                    <w:iCs/>
                    <w:sz w:val="20"/>
                    <w:szCs w:val="22"/>
                    <w:lang w:eastAsia="ko-KR"/>
                  </w:rPr>
                </m:ctrlPr>
              </m:e>
              <m:sub>
                <m:r>
                  <m:rPr>
                    <m:sty m:val="p"/>
                  </m:rPr>
                  <w:rPr>
                    <w:rFonts w:ascii="Cambria Math" w:hAnsi="Cambria Math" w:eastAsia="DengXian"/>
                    <w:sz w:val="20"/>
                    <w:szCs w:val="22"/>
                    <w:lang w:eastAsia="ko-KR"/>
                  </w:rPr>
                  <m:t>1</m:t>
                </m:r>
                <m:ctrlPr>
                  <w:rPr>
                    <w:rFonts w:ascii="Cambria Math" w:hAnsi="Cambria Math" w:eastAsia="DengXian"/>
                    <w:iCs/>
                    <w:sz w:val="20"/>
                    <w:szCs w:val="22"/>
                    <w:lang w:eastAsia="ko-KR"/>
                  </w:rPr>
                </m:ctrlPr>
              </m:sub>
              <m:sup>
                <m:r>
                  <m:rPr>
                    <m:sty m:val="p"/>
                  </m:rPr>
                  <w:rPr>
                    <w:rFonts w:ascii="Cambria Math" w:hAnsi="Cambria Math" w:eastAsia="DengXian"/>
                    <w:sz w:val="20"/>
                    <w:szCs w:val="22"/>
                    <w:lang w:eastAsia="ko-KR"/>
                  </w:rPr>
                  <m:t>SL</m:t>
                </m:r>
                <m:ctrlPr>
                  <w:rPr>
                    <w:rFonts w:ascii="Cambria Math" w:hAnsi="Cambria Math" w:eastAsia="DengXian"/>
                    <w:iCs/>
                    <w:sz w:val="20"/>
                    <w:szCs w:val="22"/>
                    <w:lang w:eastAsia="ko-KR"/>
                  </w:rPr>
                </m:ctrlPr>
              </m:sup>
            </m:sSubSup>
            <m:r>
              <m:rPr>
                <m:sty m:val="p"/>
              </m:rPr>
              <w:rPr>
                <w:rFonts w:ascii="Cambria Math" w:hAnsi="Cambria Math" w:eastAsia="DengXian"/>
                <w:sz w:val="20"/>
                <w:szCs w:val="22"/>
                <w:lang w:eastAsia="ko-KR"/>
              </w:rPr>
              <m:t>,</m:t>
            </m:r>
            <m:sSubSup>
              <m:sSubSupPr>
                <m:ctrlPr>
                  <w:rPr>
                    <w:rFonts w:ascii="Cambria Math" w:hAnsi="Cambria Math" w:eastAsia="DengXian"/>
                    <w:iCs/>
                    <w:sz w:val="20"/>
                    <w:szCs w:val="22"/>
                    <w:lang w:eastAsia="ko-KR"/>
                  </w:rPr>
                </m:ctrlPr>
              </m:sSubSupPr>
              <m:e>
                <m:r>
                  <m:rPr>
                    <m:sty m:val="p"/>
                  </m:rPr>
                  <w:rPr>
                    <w:rFonts w:ascii="Cambria Math" w:hAnsi="Cambria Math" w:eastAsia="DengXian"/>
                    <w:sz w:val="20"/>
                    <w:szCs w:val="22"/>
                    <w:lang w:eastAsia="ko-KR"/>
                  </w:rPr>
                  <m:t>t'</m:t>
                </m:r>
                <m:ctrlPr>
                  <w:rPr>
                    <w:rFonts w:ascii="Cambria Math" w:hAnsi="Cambria Math" w:eastAsia="DengXian"/>
                    <w:iCs/>
                    <w:sz w:val="20"/>
                    <w:szCs w:val="22"/>
                    <w:lang w:eastAsia="ko-KR"/>
                  </w:rPr>
                </m:ctrlPr>
              </m:e>
              <m:sub>
                <m:r>
                  <m:rPr>
                    <m:sty m:val="p"/>
                  </m:rPr>
                  <w:rPr>
                    <w:rFonts w:ascii="Cambria Math" w:hAnsi="Cambria Math" w:eastAsia="DengXian"/>
                    <w:sz w:val="20"/>
                    <w:szCs w:val="22"/>
                    <w:lang w:eastAsia="ko-KR"/>
                  </w:rPr>
                  <m:t>2</m:t>
                </m:r>
                <m:ctrlPr>
                  <w:rPr>
                    <w:rFonts w:ascii="Cambria Math" w:hAnsi="Cambria Math" w:eastAsia="DengXian"/>
                    <w:iCs/>
                    <w:sz w:val="20"/>
                    <w:szCs w:val="22"/>
                    <w:lang w:eastAsia="ko-KR"/>
                  </w:rPr>
                </m:ctrlPr>
              </m:sub>
              <m:sup>
                <m:r>
                  <m:rPr>
                    <m:sty m:val="p"/>
                  </m:rPr>
                  <w:rPr>
                    <w:rFonts w:ascii="Cambria Math" w:hAnsi="Cambria Math" w:eastAsia="DengXian"/>
                    <w:sz w:val="20"/>
                    <w:szCs w:val="22"/>
                    <w:lang w:eastAsia="ko-KR"/>
                  </w:rPr>
                  <m:t>SL</m:t>
                </m:r>
                <m:ctrlPr>
                  <w:rPr>
                    <w:rFonts w:ascii="Cambria Math" w:hAnsi="Cambria Math" w:eastAsia="DengXian"/>
                    <w:iCs/>
                    <w:sz w:val="20"/>
                    <w:szCs w:val="22"/>
                    <w:lang w:eastAsia="ko-KR"/>
                  </w:rPr>
                </m:ctrlPr>
              </m:sup>
            </m:sSubSup>
            <m:r>
              <m:rPr>
                <m:sty m:val="p"/>
              </m:rPr>
              <w:rPr>
                <w:rFonts w:ascii="Cambria Math" w:hAnsi="Cambria Math" w:eastAsia="DengXian"/>
                <w:sz w:val="20"/>
                <w:szCs w:val="22"/>
                <w:lang w:eastAsia="ko-KR"/>
              </w:rPr>
              <m:t>,...</m:t>
            </m:r>
            <m:ctrlPr>
              <w:rPr>
                <w:rFonts w:ascii="Cambria Math" w:hAnsi="Cambria Math" w:eastAsia="DengXian"/>
                <w:iCs/>
                <w:sz w:val="20"/>
                <w:szCs w:val="22"/>
                <w:lang w:eastAsia="ko-KR"/>
              </w:rPr>
            </m:ctrlPr>
          </m:e>
        </m:d>
      </m:oMath>
      <w:r>
        <w:rPr>
          <w:rFonts w:eastAsia="DengXian"/>
          <w:iCs/>
          <w:sz w:val="20"/>
          <w:szCs w:val="22"/>
          <w:lang w:eastAsia="ko-KR"/>
        </w:rPr>
        <w:t xml:space="preserve"> as “a set of slots in a sidelink resource pool [6, TS 38.214]”. </w:t>
      </w:r>
      <w:r>
        <w:rPr>
          <w:rFonts w:eastAsia="DengXian"/>
          <w:iCs/>
          <w:sz w:val="20"/>
          <w:szCs w:val="22"/>
        </w:rPr>
        <w:t xml:space="preserve">Moreover, </w:t>
      </w:r>
      <m:oMath>
        <m:r>
          <m:rPr>
            <m:sty m:val="p"/>
          </m:rPr>
          <w:rPr>
            <w:rFonts w:ascii="Cambria Math" w:hAnsi="Cambria Math" w:eastAsia="DengXian"/>
            <w:sz w:val="20"/>
            <w:szCs w:val="22"/>
            <w:lang w:eastAsia="ko-KR"/>
          </w:rPr>
          <m:t>{</m:t>
        </m:r>
        <m:sSubSup>
          <m:sSubSupPr>
            <m:ctrlPr>
              <w:rPr>
                <w:rFonts w:ascii="Cambria Math" w:hAnsi="Cambria Math" w:eastAsia="DengXian"/>
                <w:iCs/>
                <w:sz w:val="20"/>
                <w:szCs w:val="22"/>
                <w:lang w:eastAsia="en-GB"/>
              </w:rPr>
            </m:ctrlPr>
          </m:sSubSupPr>
          <m:e>
            <m:r>
              <m:rPr>
                <m:sty m:val="p"/>
              </m:rPr>
              <w:rPr>
                <w:rFonts w:ascii="Cambria Math" w:hAnsi="Cambria Math" w:eastAsia="DengXian"/>
                <w:sz w:val="20"/>
                <w:szCs w:val="22"/>
                <w:lang w:eastAsia="en-GB"/>
              </w:rPr>
              <m:t>t</m:t>
            </m:r>
            <m:ctrlPr>
              <w:rPr>
                <w:rFonts w:ascii="Cambria Math" w:hAnsi="Cambria Math" w:eastAsia="DengXian"/>
                <w:iCs/>
                <w:sz w:val="20"/>
                <w:szCs w:val="22"/>
                <w:lang w:eastAsia="en-GB"/>
              </w:rPr>
            </m:ctrlPr>
          </m:e>
          <m:sub>
            <m:r>
              <m:rPr>
                <m:sty m:val="p"/>
              </m:rPr>
              <w:rPr>
                <w:rFonts w:ascii="Cambria Math" w:hAnsi="Cambria Math" w:eastAsia="DengXian"/>
                <w:sz w:val="20"/>
                <w:szCs w:val="22"/>
                <w:lang w:eastAsia="en-GB"/>
              </w:rPr>
              <m:t>y</m:t>
            </m:r>
            <m:ctrlPr>
              <w:rPr>
                <w:rFonts w:ascii="Cambria Math" w:hAnsi="Cambria Math" w:eastAsia="DengXian"/>
                <w:iCs/>
                <w:sz w:val="20"/>
                <w:szCs w:val="22"/>
                <w:lang w:eastAsia="en-GB"/>
              </w:rPr>
            </m:ctrlPr>
          </m:sub>
          <m:sup>
            <m:r>
              <m:rPr>
                <m:sty m:val="p"/>
              </m:rPr>
              <w:rPr>
                <w:rFonts w:ascii="Cambria Math" w:hAnsi="Cambria Math" w:eastAsia="DengXian"/>
                <w:sz w:val="20"/>
                <w:szCs w:val="22"/>
                <w:lang w:eastAsia="en-GB"/>
              </w:rPr>
              <m:t>SL</m:t>
            </m:r>
            <m:ctrlPr>
              <w:rPr>
                <w:rFonts w:ascii="Cambria Math" w:hAnsi="Cambria Math" w:eastAsia="DengXian"/>
                <w:iCs/>
                <w:sz w:val="20"/>
                <w:szCs w:val="22"/>
                <w:lang w:eastAsia="en-GB"/>
              </w:rPr>
            </m:ctrlPr>
          </m:sup>
        </m:sSubSup>
        <m:r>
          <m:rPr>
            <m:sty m:val="p"/>
          </m:rPr>
          <w:rPr>
            <w:rFonts w:ascii="Cambria Math" w:hAnsi="Cambria Math" w:eastAsia="DengXian"/>
            <w:sz w:val="20"/>
            <w:szCs w:val="22"/>
            <w:lang w:eastAsia="en-GB"/>
          </w:rPr>
          <m:t>}</m:t>
        </m:r>
      </m:oMath>
      <w:r>
        <w:rPr>
          <w:rFonts w:eastAsia="DengXian"/>
          <w:iCs/>
          <w:sz w:val="20"/>
          <w:szCs w:val="22"/>
        </w:rPr>
        <w:t xml:space="preserve"> should be replaced by </w:t>
      </w:r>
      <w:r>
        <w:rPr>
          <w:rFonts w:eastAsia="DengXian"/>
          <w:iCs/>
          <w:position w:val="-14"/>
          <w:sz w:val="20"/>
          <w:szCs w:val="22"/>
        </w:rPr>
        <w:object>
          <v:shape id="_x0000_i1025" o:spt="75" type="#_x0000_t75" style="height:17.2pt;width:23.1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eastAsia="DengXian"/>
          <w:iCs/>
          <w:sz w:val="20"/>
          <w:szCs w:val="22"/>
        </w:rPr>
        <w:t xml:space="preserve"> in 38.213 section 16.4.</w:t>
      </w:r>
    </w:p>
    <w:p>
      <w:pPr>
        <w:pStyle w:val="36"/>
        <w:spacing w:before="120" w:after="120" w:line="260" w:lineRule="auto"/>
        <w:jc w:val="both"/>
        <w:rPr>
          <w:lang w:val="en-US" w:eastAsia="zh-CN"/>
        </w:rPr>
      </w:pPr>
      <w:bookmarkStart w:id="6" w:name="_Toc12725"/>
      <w:bookmarkStart w:id="7" w:name="_Toc16847"/>
      <w:r>
        <w:rPr>
          <w:rFonts w:hint="eastAsia"/>
          <w:szCs w:val="22"/>
          <w:lang w:val="en-US" w:eastAsia="zh-CN"/>
        </w:rPr>
        <w:t>To adopt the foll</w:t>
      </w:r>
      <w:r>
        <w:rPr>
          <w:szCs w:val="22"/>
          <w:lang w:val="en-US" w:eastAsia="zh-CN"/>
        </w:rPr>
        <w:t>o</w:t>
      </w:r>
      <w:r>
        <w:rPr>
          <w:rFonts w:hint="eastAsia"/>
          <w:szCs w:val="22"/>
          <w:lang w:val="en-US" w:eastAsia="zh-CN"/>
        </w:rPr>
        <w:t xml:space="preserve">wing </w:t>
      </w:r>
      <w:r>
        <w:rPr>
          <w:szCs w:val="22"/>
          <w:lang w:val="en-US" w:eastAsia="zh-CN"/>
        </w:rPr>
        <w:t>TP for</w:t>
      </w:r>
      <w:r>
        <w:rPr>
          <w:rFonts w:hint="eastAsia"/>
          <w:szCs w:val="22"/>
          <w:lang w:val="en-US" w:eastAsia="zh-CN"/>
        </w:rPr>
        <w:t xml:space="preserve"> TS 38.213.</w:t>
      </w:r>
      <w:bookmarkEnd w:id="6"/>
      <w:bookmarkEnd w:id="7"/>
    </w:p>
    <w:tbl>
      <w:tblPr>
        <w:tblStyle w:val="23"/>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widowControl w:val="0"/>
              <w:numPr>
                <w:ilvl w:val="1"/>
                <w:numId w:val="0"/>
              </w:numPr>
              <w:spacing w:before="120" w:after="120"/>
              <w:ind w:right="0" w:rightChars="0"/>
              <w:outlineLvl w:val="1"/>
              <w:rPr>
                <w:rFonts w:eastAsia="宋体"/>
                <w:sz w:val="32"/>
                <w:szCs w:val="22"/>
                <w:lang w:val="en-GB" w:eastAsia="en-US"/>
              </w:rPr>
            </w:pPr>
            <w:r>
              <w:rPr>
                <w:rFonts w:eastAsia="宋体"/>
                <w:sz w:val="32"/>
                <w:szCs w:val="22"/>
                <w:lang w:val="en-GB" w:eastAsia="en-US"/>
              </w:rPr>
              <w:t>16.4</w:t>
            </w:r>
            <w:r>
              <w:rPr>
                <w:rFonts w:hint="eastAsia" w:eastAsia="宋体"/>
                <w:sz w:val="32"/>
                <w:szCs w:val="22"/>
                <w:lang w:val="en-GB" w:eastAsia="en-US"/>
              </w:rPr>
              <w:tab/>
            </w:r>
            <w:r>
              <w:rPr>
                <w:rFonts w:eastAsia="宋体"/>
                <w:sz w:val="32"/>
                <w:szCs w:val="22"/>
                <w:lang w:val="en-GB" w:eastAsia="en-US"/>
              </w:rPr>
              <w:t xml:space="preserve">UE procedure for transmitting PSCCH </w:t>
            </w:r>
          </w:p>
          <w:p>
            <w:pPr>
              <w:widowControl w:val="0"/>
              <w:spacing w:before="120" w:after="120"/>
              <w:jc w:val="center"/>
              <w:rPr>
                <w:b/>
                <w:iCs/>
                <w:color w:val="FF0000"/>
                <w:sz w:val="20"/>
                <w:szCs w:val="22"/>
              </w:rPr>
            </w:pPr>
            <w:r>
              <w:rPr>
                <w:b/>
                <w:iCs/>
                <w:color w:val="FF0000"/>
                <w:sz w:val="20"/>
                <w:szCs w:val="22"/>
              </w:rPr>
              <w:t>&lt;Unchanged parts are omitted&gt;</w:t>
            </w:r>
          </w:p>
          <w:p>
            <w:pPr>
              <w:pStyle w:val="51"/>
              <w:widowControl w:val="0"/>
              <w:spacing w:before="120" w:after="120"/>
              <w:rPr>
                <w:sz w:val="20"/>
              </w:rPr>
            </w:pPr>
            <w:r>
              <w:rPr>
                <w:sz w:val="20"/>
                <w:lang w:eastAsia="ko-KR"/>
              </w:rPr>
              <w:t>-</w:t>
            </w:r>
            <w:r>
              <w:rPr>
                <w:sz w:val="20"/>
                <w:lang w:eastAsia="ko-KR"/>
              </w:rPr>
              <w:tab/>
            </w:r>
            <w:r>
              <w:rPr>
                <w:sz w:val="20"/>
              </w:rPr>
              <w:t xml:space="preserve">the values of the frequency resource assignment field and the time resource assignment field as described in [6, TS 38.214] to indicate </w:t>
            </w:r>
            <m:oMath>
              <m:r>
                <w:rPr>
                  <w:rFonts w:ascii="Cambria Math" w:hAnsi="Cambria Math" w:cs="Calibri" w:eastAsiaTheme="minorHAnsi"/>
                  <w:sz w:val="20"/>
                </w:rPr>
                <m:t>N</m:t>
              </m:r>
            </m:oMath>
            <w:r>
              <w:rPr>
                <w:sz w:val="20"/>
              </w:rPr>
              <w:t xml:space="preserve"> resources from a set</w:t>
            </w:r>
            <w:r>
              <w:rPr>
                <w:sz w:val="20"/>
                <w:highlight w:val="none"/>
              </w:rPr>
              <w:t xml:space="preserve"> </w:t>
            </w:r>
            <m:oMath>
              <m:d>
                <m:dPr>
                  <m:begChr m:val="{"/>
                  <m:endChr m:val="}"/>
                  <m:ctrlPr>
                    <w:rPr>
                      <w:rFonts w:ascii="Cambria Math" w:hAnsi="Cambria Math" w:cs="Calibri" w:eastAsiaTheme="minorHAnsi"/>
                      <w:i/>
                      <w:iCs/>
                      <w:sz w:val="20"/>
                      <w:highlight w:val="none"/>
                      <w:lang w:eastAsia="en-GB"/>
                    </w:rPr>
                  </m:ctrlPr>
                </m:dPr>
                <m:e>
                  <m:sSub>
                    <m:sSubPr>
                      <m:ctrlPr>
                        <w:rPr>
                          <w:rFonts w:ascii="Cambria Math" w:hAnsi="Cambria Math" w:cs="Calibri" w:eastAsiaTheme="minorHAnsi"/>
                          <w:i/>
                          <w:iCs/>
                          <w:sz w:val="20"/>
                          <w:highlight w:val="none"/>
                          <w:lang w:eastAsia="en-GB"/>
                        </w:rPr>
                      </m:ctrlPr>
                    </m:sSubPr>
                    <m:e>
                      <m:r>
                        <w:rPr>
                          <w:rFonts w:ascii="Cambria Math" w:hAnsi="Cambria Math"/>
                          <w:sz w:val="20"/>
                          <w:highlight w:val="none"/>
                          <w:lang w:eastAsia="en-GB"/>
                        </w:rPr>
                        <m:t>R</m:t>
                      </m:r>
                      <m:ctrlPr>
                        <w:rPr>
                          <w:rFonts w:ascii="Cambria Math" w:hAnsi="Cambria Math" w:cs="Calibri" w:eastAsiaTheme="minorHAnsi"/>
                          <w:i/>
                          <w:iCs/>
                          <w:sz w:val="20"/>
                          <w:highlight w:val="none"/>
                          <w:lang w:eastAsia="en-GB"/>
                        </w:rPr>
                      </m:ctrlPr>
                    </m:e>
                    <m:sub>
                      <m:r>
                        <m:rPr>
                          <m:nor/>
                          <m:sty m:val="p"/>
                        </m:rPr>
                        <w:rPr>
                          <w:rFonts w:ascii="Cambria Math" w:hAnsi="Cambria Math"/>
                          <w:b w:val="0"/>
                          <w:i w:val="0"/>
                          <w:sz w:val="20"/>
                          <w:highlight w:val="none"/>
                          <w:lang w:eastAsia="en-GB"/>
                        </w:rPr>
                        <m:t>y</m:t>
                      </m:r>
                      <m:ctrlPr>
                        <w:rPr>
                          <w:rFonts w:ascii="Cambria Math" w:hAnsi="Cambria Math" w:cs="Calibri" w:eastAsiaTheme="minorHAnsi"/>
                          <w:sz w:val="20"/>
                          <w:highlight w:val="none"/>
                          <w:lang w:eastAsia="en-GB"/>
                        </w:rPr>
                      </m:ctrlPr>
                    </m:sub>
                  </m:sSub>
                  <m:ctrlPr>
                    <w:rPr>
                      <w:rFonts w:ascii="Cambria Math" w:hAnsi="Cambria Math" w:cs="Calibri" w:eastAsiaTheme="minorHAnsi"/>
                      <w:i/>
                      <w:iCs/>
                      <w:sz w:val="20"/>
                      <w:highlight w:val="none"/>
                      <w:lang w:eastAsia="en-GB"/>
                    </w:rPr>
                  </m:ctrlPr>
                </m:e>
              </m:d>
            </m:oMath>
            <w:r>
              <w:rPr>
                <w:sz w:val="20"/>
                <w:highlight w:val="none"/>
              </w:rPr>
              <w:t xml:space="preserve"> of resources selected by higher layers as described in [11, TS 38.321] with </w:t>
            </w:r>
            <m:oMath>
              <m:r>
                <w:rPr>
                  <w:rFonts w:ascii="Cambria Math" w:hAnsi="Cambria Math" w:cs="Calibri" w:eastAsiaTheme="minorHAnsi"/>
                  <w:sz w:val="20"/>
                  <w:highlight w:val="none"/>
                </w:rPr>
                <m:t>N</m:t>
              </m:r>
            </m:oMath>
            <w:r>
              <w:rPr>
                <w:sz w:val="20"/>
                <w:highlight w:val="none"/>
              </w:rPr>
              <w:t xml:space="preserve"> smallest slot indices  </w:t>
            </w:r>
            <m:oMath>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i</m:t>
                  </m:r>
                  <m:ctrlPr>
                    <w:rPr>
                      <w:rFonts w:ascii="Cambria Math" w:hAnsi="Cambria Math"/>
                      <w:i/>
                      <w:iCs/>
                      <w:sz w:val="20"/>
                      <w:highlight w:val="none"/>
                    </w:rPr>
                  </m:ctrlPr>
                </m:sub>
              </m:sSub>
            </m:oMath>
            <w:r>
              <w:rPr>
                <w:sz w:val="20"/>
                <w:highlight w:val="none"/>
              </w:rPr>
              <w:t xml:space="preserve"> for </w:t>
            </w:r>
            <m:oMath>
              <m:r>
                <w:rPr>
                  <w:rFonts w:ascii="Cambria Math" w:hAnsi="Cambria Math"/>
                  <w:sz w:val="20"/>
                  <w:highlight w:val="none"/>
                </w:rPr>
                <m:t>0≤i≤N-1</m:t>
              </m:r>
            </m:oMath>
            <w:r>
              <w:rPr>
                <w:sz w:val="20"/>
                <w:highlight w:val="none"/>
              </w:rPr>
              <w:t xml:space="preserve"> such that </w:t>
            </w:r>
            <m:oMath>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0</m:t>
                  </m:r>
                  <m:ctrlPr>
                    <w:rPr>
                      <w:rFonts w:ascii="Cambria Math" w:hAnsi="Cambria Math"/>
                      <w:i/>
                      <w:iCs/>
                      <w:sz w:val="20"/>
                      <w:highlight w:val="none"/>
                    </w:rPr>
                  </m:ctrlPr>
                </m:sub>
              </m:sSub>
              <m:r>
                <w:rPr>
                  <w:rFonts w:ascii="Cambria Math" w:hAnsi="Cambria Math"/>
                  <w:sz w:val="20"/>
                  <w:highlight w:val="none"/>
                  <w:lang w:eastAsia="en-GB"/>
                </w:rPr>
                <m:t>&lt;</m:t>
              </m:r>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1</m:t>
                  </m:r>
                  <m:ctrlPr>
                    <w:rPr>
                      <w:rFonts w:ascii="Cambria Math" w:hAnsi="Cambria Math"/>
                      <w:i/>
                      <w:iCs/>
                      <w:sz w:val="20"/>
                      <w:highlight w:val="none"/>
                    </w:rPr>
                  </m:ctrlPr>
                </m:sub>
              </m:sSub>
              <m:r>
                <w:rPr>
                  <w:rFonts w:ascii="Cambria Math" w:hAnsi="Cambria Math"/>
                  <w:sz w:val="20"/>
                  <w:highlight w:val="none"/>
                  <w:lang w:eastAsia="en-GB"/>
                </w:rPr>
                <m:t>&lt;…&lt;</m:t>
              </m:r>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N-1</m:t>
                  </m:r>
                  <m:ctrlPr>
                    <w:rPr>
                      <w:rFonts w:ascii="Cambria Math" w:hAnsi="Cambria Math"/>
                      <w:i/>
                      <w:iCs/>
                      <w:sz w:val="20"/>
                      <w:highlight w:val="none"/>
                    </w:rPr>
                  </m:ctrlPr>
                </m:sub>
              </m:sSub>
              <m:r>
                <w:rPr>
                  <w:rFonts w:ascii="Cambria Math" w:hAnsi="Cambria Math"/>
                  <w:sz w:val="20"/>
                  <w:highlight w:val="none"/>
                  <w:lang w:eastAsia="en-GB"/>
                </w:rPr>
                <m:t>≤</m:t>
              </m:r>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0</m:t>
                  </m:r>
                  <m:ctrlPr>
                    <w:rPr>
                      <w:rFonts w:ascii="Cambria Math" w:hAnsi="Cambria Math"/>
                      <w:i/>
                      <w:iCs/>
                      <w:sz w:val="20"/>
                      <w:highlight w:val="none"/>
                    </w:rPr>
                  </m:ctrlPr>
                </m:sub>
              </m:sSub>
              <m:r>
                <w:rPr>
                  <w:rFonts w:ascii="Cambria Math" w:hAnsi="Cambria Math"/>
                  <w:sz w:val="20"/>
                  <w:highlight w:val="none"/>
                </w:rPr>
                <m:t>+31</m:t>
              </m:r>
            </m:oMath>
            <w:r>
              <w:rPr>
                <w:sz w:val="20"/>
                <w:highlight w:val="none"/>
              </w:rPr>
              <w:t xml:space="preserve">, </w:t>
            </w:r>
            <w:r>
              <w:rPr>
                <w:sz w:val="20"/>
              </w:rPr>
              <w:t>where:</w:t>
            </w:r>
          </w:p>
          <w:p>
            <w:pPr>
              <w:pStyle w:val="61"/>
              <w:widowControl w:val="0"/>
              <w:spacing w:before="120" w:after="120"/>
              <w:rPr>
                <w:sz w:val="20"/>
              </w:rPr>
            </w:pPr>
            <w:r>
              <w:rPr>
                <w:sz w:val="20"/>
              </w:rPr>
              <w:t>-</w:t>
            </w:r>
            <w:r>
              <w:rPr>
                <w:sz w:val="20"/>
              </w:rPr>
              <w:tab/>
            </w:r>
            <m:oMath>
              <m:r>
                <w:rPr>
                  <w:rFonts w:ascii="Cambria Math" w:hAnsi="Cambria Math" w:cs="Calibri" w:eastAsiaTheme="minorHAnsi"/>
                  <w:sz w:val="20"/>
                </w:rPr>
                <m:t>N=</m:t>
              </m:r>
              <m:r>
                <m:rPr>
                  <m:sty m:val="p"/>
                </m:rPr>
                <w:rPr>
                  <w:rFonts w:ascii="Cambria Math" w:hAnsi="Cambria Math" w:cs="Calibri" w:eastAsiaTheme="minorHAnsi"/>
                  <w:sz w:val="20"/>
                </w:rPr>
                <m:t>min</m:t>
              </m:r>
              <m:d>
                <m:dPr>
                  <m:ctrlPr>
                    <w:rPr>
                      <w:rFonts w:ascii="Cambria Math" w:hAnsi="Cambria Math" w:cs="Calibri" w:eastAsiaTheme="minorHAnsi"/>
                      <w:i/>
                      <w:iCs/>
                      <w:sz w:val="20"/>
                    </w:rPr>
                  </m:ctrlPr>
                </m:dPr>
                <m:e>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selected</m:t>
                      </m:r>
                      <m:ctrlPr>
                        <w:rPr>
                          <w:rFonts w:ascii="Cambria Math" w:hAnsi="Cambria Math"/>
                          <w:i/>
                          <w:iCs/>
                          <w:sz w:val="20"/>
                        </w:rPr>
                      </m:ctrlPr>
                    </m:sub>
                  </m:sSub>
                  <m:r>
                    <m:rPr>
                      <m:sty m:val="p"/>
                    </m:rPr>
                    <w:rPr>
                      <w:rFonts w:ascii="Cambria Math" w:hAnsi="Cambria Math"/>
                      <w:sz w:val="20"/>
                    </w:rPr>
                    <m:t xml:space="preserve">, </m:t>
                  </m:r>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max_reserve</m:t>
                      </m:r>
                      <m:ctrlPr>
                        <w:rPr>
                          <w:rFonts w:ascii="Cambria Math" w:hAnsi="Cambria Math"/>
                          <w:i/>
                          <w:iCs/>
                          <w:sz w:val="20"/>
                        </w:rPr>
                      </m:ctrlPr>
                    </m:sub>
                  </m:sSub>
                  <m:ctrlPr>
                    <w:rPr>
                      <w:rFonts w:ascii="Cambria Math" w:hAnsi="Cambria Math" w:cs="Calibri" w:eastAsiaTheme="minorHAnsi"/>
                      <w:i/>
                      <w:iCs/>
                      <w:sz w:val="20"/>
                    </w:rPr>
                  </m:ctrlPr>
                </m:e>
              </m:d>
            </m:oMath>
            <w:r>
              <w:rPr>
                <w:sz w:val="20"/>
              </w:rPr>
              <w:t xml:space="preserve">, where </w:t>
            </w:r>
            <m:oMath>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selected</m:t>
                  </m:r>
                  <m:ctrlPr>
                    <w:rPr>
                      <w:rFonts w:ascii="Cambria Math" w:hAnsi="Cambria Math"/>
                      <w:i/>
                      <w:iCs/>
                      <w:sz w:val="20"/>
                    </w:rPr>
                  </m:ctrlPr>
                </m:sub>
              </m:sSub>
            </m:oMath>
            <w:r>
              <w:rPr>
                <w:sz w:val="20"/>
              </w:rPr>
              <w:t xml:space="preserve"> is a number of resources in the set </w:t>
            </w:r>
            <m:oMath>
              <m:d>
                <m:dPr>
                  <m:begChr m:val="{"/>
                  <m:endChr m:val="}"/>
                  <m:ctrlPr>
                    <w:rPr>
                      <w:rFonts w:ascii="Cambria Math" w:hAnsi="Cambria Math" w:cs="Calibri" w:eastAsiaTheme="minorHAnsi"/>
                      <w:i/>
                      <w:iCs/>
                      <w:sz w:val="20"/>
                      <w:lang w:eastAsia="en-GB"/>
                    </w:rPr>
                  </m:ctrlPr>
                </m:dPr>
                <m:e>
                  <m:sSub>
                    <m:sSubPr>
                      <m:ctrlPr>
                        <w:rPr>
                          <w:rFonts w:ascii="Cambria Math" w:hAnsi="Cambria Math" w:cs="Calibri" w:eastAsiaTheme="minorHAnsi"/>
                          <w:i/>
                          <w:iCs/>
                          <w:sz w:val="20"/>
                          <w:lang w:eastAsia="en-GB"/>
                        </w:rPr>
                      </m:ctrlPr>
                    </m:sSubPr>
                    <m:e>
                      <m:r>
                        <w:rPr>
                          <w:rFonts w:ascii="Cambria Math" w:hAnsi="Cambria Math"/>
                          <w:sz w:val="20"/>
                          <w:lang w:eastAsia="en-GB"/>
                        </w:rPr>
                        <m:t>R</m:t>
                      </m:r>
                      <m:ctrlPr>
                        <w:rPr>
                          <w:rFonts w:ascii="Cambria Math" w:hAnsi="Cambria Math" w:cs="Calibri" w:eastAsiaTheme="minorHAnsi"/>
                          <w:i/>
                          <w:iCs/>
                          <w:sz w:val="20"/>
                          <w:lang w:eastAsia="en-GB"/>
                        </w:rPr>
                      </m:ctrlPr>
                    </m:e>
                    <m:sub>
                      <m:r>
                        <m:rPr>
                          <m:nor/>
                          <m:sty m:val="p"/>
                        </m:rPr>
                        <w:rPr>
                          <w:rFonts w:ascii="Cambria Math" w:hAnsi="Cambria Math"/>
                          <w:b w:val="0"/>
                          <w:i w:val="0"/>
                          <w:sz w:val="20"/>
                          <w:lang w:eastAsia="en-GB"/>
                        </w:rPr>
                        <m:t>y</m:t>
                      </m:r>
                      <m:ctrlPr>
                        <w:rPr>
                          <w:rFonts w:ascii="Cambria Math" w:hAnsi="Cambria Math" w:cs="Calibri" w:eastAsiaTheme="minorHAnsi"/>
                          <w:sz w:val="20"/>
                          <w:lang w:eastAsia="en-GB"/>
                        </w:rPr>
                      </m:ctrlPr>
                    </m:sub>
                  </m:sSub>
                  <m:ctrlPr>
                    <w:rPr>
                      <w:rFonts w:ascii="Cambria Math" w:hAnsi="Cambria Math" w:cs="Calibri" w:eastAsiaTheme="minorHAnsi"/>
                      <w:i/>
                      <w:iCs/>
                      <w:sz w:val="20"/>
                      <w:lang w:eastAsia="en-GB"/>
                    </w:rPr>
                  </m:ctrlPr>
                </m:e>
              </m:d>
            </m:oMath>
            <w:r>
              <w:rPr>
                <w:sz w:val="20"/>
              </w:rPr>
              <w:t xml:space="preserve"> with slot indices  </w:t>
            </w:r>
            <m:oMath>
              <m:sSub>
                <m:sSubPr>
                  <m:ctrlPr>
                    <w:rPr>
                      <w:rFonts w:ascii="Cambria Math" w:hAnsi="Cambria Math" w:cs="Calibri" w:eastAsiaTheme="minorHAnsi"/>
                      <w:i/>
                      <w:iCs/>
                      <w:sz w:val="20"/>
                    </w:rPr>
                  </m:ctrlPr>
                </m:sSubPr>
                <m:e>
                  <m:r>
                    <w:rPr>
                      <w:rFonts w:ascii="Cambria Math" w:hAnsi="Cambria Math"/>
                      <w:sz w:val="20"/>
                    </w:rPr>
                    <m:t>y</m:t>
                  </m:r>
                  <m:ctrlPr>
                    <w:rPr>
                      <w:rFonts w:ascii="Cambria Math" w:hAnsi="Cambria Math" w:cs="Calibri" w:eastAsiaTheme="minorHAnsi"/>
                      <w:i/>
                      <w:iCs/>
                      <w:sz w:val="20"/>
                    </w:rPr>
                  </m:ctrlPr>
                </m:e>
                <m:sub>
                  <m:r>
                    <w:rPr>
                      <w:rFonts w:ascii="Cambria Math" w:hAnsi="Cambria Math" w:cs="Calibri" w:eastAsiaTheme="minorHAnsi"/>
                      <w:sz w:val="20"/>
                    </w:rPr>
                    <m:t>j</m:t>
                  </m:r>
                  <m:ctrlPr>
                    <w:rPr>
                      <w:rFonts w:ascii="Cambria Math" w:hAnsi="Cambria Math" w:cs="Calibri" w:eastAsiaTheme="minorHAnsi"/>
                      <w:i/>
                      <w:iCs/>
                      <w:sz w:val="20"/>
                    </w:rPr>
                  </m:ctrlPr>
                </m:sub>
              </m:sSub>
            </m:oMath>
            <w:r>
              <w:rPr>
                <w:sz w:val="20"/>
              </w:rPr>
              <w:t xml:space="preserve">, </w:t>
            </w:r>
            <m:oMath>
              <m:r>
                <w:rPr>
                  <w:rFonts w:ascii="Cambria Math" w:hAnsi="Cambria Math"/>
                  <w:sz w:val="20"/>
                </w:rPr>
                <m:t>0≤j≤</m:t>
              </m:r>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selected</m:t>
                  </m:r>
                  <m:ctrlPr>
                    <w:rPr>
                      <w:rFonts w:ascii="Cambria Math" w:hAnsi="Cambria Math"/>
                      <w:i/>
                      <w:iCs/>
                      <w:sz w:val="20"/>
                    </w:rPr>
                  </m:ctrlPr>
                </m:sub>
              </m:sSub>
              <m:r>
                <w:rPr>
                  <w:rFonts w:ascii="Cambria Math" w:hAnsi="Cambria Math"/>
                  <w:sz w:val="20"/>
                </w:rPr>
                <m:t>-1</m:t>
              </m:r>
            </m:oMath>
            <w:r>
              <w:rPr>
                <w:sz w:val="20"/>
              </w:rPr>
              <w:t xml:space="preserve">, such that </w:t>
            </w:r>
            <m:oMath>
              <m:sSub>
                <m:sSubPr>
                  <m:ctrlPr>
                    <w:rPr>
                      <w:rFonts w:ascii="Cambria Math" w:hAnsi="Cambria Math"/>
                      <w:i/>
                      <w:iCs/>
                      <w:sz w:val="20"/>
                    </w:rPr>
                  </m:ctrlPr>
                </m:sSubPr>
                <m:e>
                  <m:r>
                    <w:rPr>
                      <w:rFonts w:ascii="Cambria Math" w:hAnsi="Cambria Math"/>
                      <w:sz w:val="20"/>
                    </w:rPr>
                    <m:t>y</m:t>
                  </m:r>
                  <m:ctrlPr>
                    <w:rPr>
                      <w:rFonts w:ascii="Cambria Math" w:hAnsi="Cambria Math"/>
                      <w:i/>
                      <w:iCs/>
                      <w:sz w:val="20"/>
                    </w:rPr>
                  </m:ctrlPr>
                </m:e>
                <m:sub>
                  <m:r>
                    <w:rPr>
                      <w:rFonts w:ascii="Cambria Math" w:hAnsi="Cambria Math"/>
                      <w:sz w:val="20"/>
                    </w:rPr>
                    <m:t>0</m:t>
                  </m:r>
                  <m:ctrlPr>
                    <w:rPr>
                      <w:rFonts w:ascii="Cambria Math" w:hAnsi="Cambria Math"/>
                      <w:i/>
                      <w:iCs/>
                      <w:sz w:val="20"/>
                    </w:rPr>
                  </m:ctrlPr>
                </m:sub>
              </m:sSub>
              <m:r>
                <w:rPr>
                  <w:rFonts w:ascii="Cambria Math" w:hAnsi="Cambria Math"/>
                  <w:sz w:val="20"/>
                  <w:lang w:eastAsia="en-GB"/>
                </w:rPr>
                <m:t>&lt;</m:t>
              </m:r>
              <m:sSub>
                <m:sSubPr>
                  <m:ctrlPr>
                    <w:rPr>
                      <w:rFonts w:ascii="Cambria Math" w:hAnsi="Cambria Math"/>
                      <w:i/>
                      <w:iCs/>
                      <w:sz w:val="20"/>
                    </w:rPr>
                  </m:ctrlPr>
                </m:sSubPr>
                <m:e>
                  <m:r>
                    <w:rPr>
                      <w:rFonts w:ascii="Cambria Math" w:hAnsi="Cambria Math"/>
                      <w:sz w:val="20"/>
                    </w:rPr>
                    <m:t>y</m:t>
                  </m:r>
                  <m:ctrlPr>
                    <w:rPr>
                      <w:rFonts w:ascii="Cambria Math" w:hAnsi="Cambria Math"/>
                      <w:i/>
                      <w:iCs/>
                      <w:sz w:val="20"/>
                    </w:rPr>
                  </m:ctrlPr>
                </m:e>
                <m:sub>
                  <m:r>
                    <w:rPr>
                      <w:rFonts w:ascii="Cambria Math" w:hAnsi="Cambria Math"/>
                      <w:sz w:val="20"/>
                    </w:rPr>
                    <m:t>1</m:t>
                  </m:r>
                  <m:ctrlPr>
                    <w:rPr>
                      <w:rFonts w:ascii="Cambria Math" w:hAnsi="Cambria Math"/>
                      <w:i/>
                      <w:iCs/>
                      <w:sz w:val="20"/>
                    </w:rPr>
                  </m:ctrlPr>
                </m:sub>
              </m:sSub>
              <m:r>
                <w:rPr>
                  <w:rFonts w:ascii="Cambria Math" w:hAnsi="Cambria Math"/>
                  <w:sz w:val="20"/>
                  <w:lang w:eastAsia="en-GB"/>
                </w:rPr>
                <m:t>&lt;…&lt;</m:t>
              </m:r>
              <m:sSub>
                <m:sSubPr>
                  <m:ctrlPr>
                    <w:rPr>
                      <w:rFonts w:ascii="Cambria Math" w:hAnsi="Cambria Math"/>
                      <w:i/>
                      <w:iCs/>
                      <w:sz w:val="20"/>
                    </w:rPr>
                  </m:ctrlPr>
                </m:sSubPr>
                <m:e>
                  <m:r>
                    <w:rPr>
                      <w:rFonts w:ascii="Cambria Math" w:hAnsi="Cambria Math"/>
                      <w:sz w:val="20"/>
                    </w:rPr>
                    <m:t>y</m:t>
                  </m:r>
                  <m:ctrlPr>
                    <w:rPr>
                      <w:rFonts w:ascii="Cambria Math" w:hAnsi="Cambria Math"/>
                      <w:i/>
                      <w:iCs/>
                      <w:sz w:val="20"/>
                    </w:rPr>
                  </m:ctrlPr>
                </m:e>
                <m:sub>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selected</m:t>
                      </m:r>
                      <m:ctrlPr>
                        <w:rPr>
                          <w:rFonts w:ascii="Cambria Math" w:hAnsi="Cambria Math"/>
                          <w:i/>
                          <w:iCs/>
                          <w:sz w:val="20"/>
                        </w:rPr>
                      </m:ctrlPr>
                    </m:sub>
                  </m:sSub>
                  <m:r>
                    <w:rPr>
                      <w:rFonts w:ascii="Cambria Math" w:hAnsi="Cambria Math"/>
                      <w:sz w:val="20"/>
                    </w:rPr>
                    <m:t>-1</m:t>
                  </m:r>
                  <m:ctrlPr>
                    <w:rPr>
                      <w:rFonts w:ascii="Cambria Math" w:hAnsi="Cambria Math"/>
                      <w:i/>
                      <w:iCs/>
                      <w:sz w:val="20"/>
                    </w:rPr>
                  </m:ctrlPr>
                </m:sub>
              </m:sSub>
              <m:r>
                <w:rPr>
                  <w:rFonts w:ascii="Cambria Math" w:hAnsi="Cambria Math"/>
                  <w:sz w:val="20"/>
                  <w:lang w:eastAsia="en-GB"/>
                </w:rPr>
                <m:t>≤</m:t>
              </m:r>
              <m:sSub>
                <m:sSubPr>
                  <m:ctrlPr>
                    <w:rPr>
                      <w:rFonts w:ascii="Cambria Math" w:hAnsi="Cambria Math"/>
                      <w:i/>
                      <w:iCs/>
                      <w:sz w:val="20"/>
                    </w:rPr>
                  </m:ctrlPr>
                </m:sSubPr>
                <m:e>
                  <m:r>
                    <w:rPr>
                      <w:rFonts w:ascii="Cambria Math" w:hAnsi="Cambria Math"/>
                      <w:sz w:val="20"/>
                    </w:rPr>
                    <m:t>y</m:t>
                  </m:r>
                  <m:ctrlPr>
                    <w:rPr>
                      <w:rFonts w:ascii="Cambria Math" w:hAnsi="Cambria Math"/>
                      <w:i/>
                      <w:iCs/>
                      <w:sz w:val="20"/>
                    </w:rPr>
                  </m:ctrlPr>
                </m:e>
                <m:sub>
                  <m:r>
                    <w:rPr>
                      <w:rFonts w:ascii="Cambria Math" w:hAnsi="Cambria Math"/>
                      <w:sz w:val="20"/>
                    </w:rPr>
                    <m:t>0</m:t>
                  </m:r>
                  <m:ctrlPr>
                    <w:rPr>
                      <w:rFonts w:ascii="Cambria Math" w:hAnsi="Cambria Math"/>
                      <w:i/>
                      <w:iCs/>
                      <w:sz w:val="20"/>
                    </w:rPr>
                  </m:ctrlPr>
                </m:sub>
              </m:sSub>
              <m:r>
                <w:rPr>
                  <w:rFonts w:ascii="Cambria Math" w:hAnsi="Cambria Math"/>
                  <w:sz w:val="20"/>
                </w:rPr>
                <m:t>+31</m:t>
              </m:r>
            </m:oMath>
            <w:r>
              <w:rPr>
                <w:sz w:val="20"/>
              </w:rPr>
              <w:t xml:space="preserve">, and </w:t>
            </w:r>
            <m:oMath>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max_reserve</m:t>
                  </m:r>
                  <m:ctrlPr>
                    <w:rPr>
                      <w:rFonts w:ascii="Cambria Math" w:hAnsi="Cambria Math"/>
                      <w:i/>
                      <w:iCs/>
                      <w:sz w:val="20"/>
                    </w:rPr>
                  </m:ctrlPr>
                </m:sub>
              </m:sSub>
            </m:oMath>
            <w:r>
              <w:rPr>
                <w:iCs/>
                <w:sz w:val="20"/>
              </w:rPr>
              <w:t xml:space="preserve"> is provided by </w:t>
            </w:r>
            <w:r>
              <w:rPr>
                <w:i/>
                <w:iCs/>
                <w:sz w:val="20"/>
              </w:rPr>
              <w:t>sl-MaxNumPerReserve</w:t>
            </w:r>
          </w:p>
          <w:p>
            <w:pPr>
              <w:pStyle w:val="61"/>
              <w:widowControl w:val="0"/>
              <w:spacing w:before="120" w:after="120"/>
              <w:rPr>
                <w:sz w:val="20"/>
              </w:rPr>
            </w:pPr>
            <w:r>
              <w:rPr>
                <w:iCs/>
                <w:sz w:val="20"/>
                <w:lang w:eastAsia="en-GB"/>
              </w:rPr>
              <w:t>-</w:t>
            </w:r>
            <w:r>
              <w:rPr>
                <w:iCs/>
                <w:sz w:val="20"/>
                <w:lang w:eastAsia="en-GB"/>
              </w:rPr>
              <w:tab/>
            </w:r>
            <w:r>
              <w:rPr>
                <w:sz w:val="20"/>
              </w:rPr>
              <w:t>each</w:t>
            </w:r>
            <w:r>
              <w:rPr>
                <w:sz w:val="20"/>
                <w:lang w:eastAsia="ko-KR"/>
              </w:rPr>
              <w:t xml:space="preserve"> resource, from the set of </w:t>
            </w:r>
            <m:oMath>
              <m:d>
                <m:dPr>
                  <m:begChr m:val="{"/>
                  <m:endChr m:val="}"/>
                  <m:ctrlPr>
                    <w:rPr>
                      <w:rFonts w:ascii="Cambria Math" w:hAnsi="Cambria Math" w:eastAsiaTheme="minorHAnsi"/>
                      <w:i/>
                      <w:iCs/>
                      <w:sz w:val="20"/>
                      <w:lang w:eastAsia="en-GB"/>
                    </w:rPr>
                  </m:ctrlPr>
                </m:dPr>
                <m:e>
                  <m:sSub>
                    <m:sSubPr>
                      <m:ctrlPr>
                        <w:rPr>
                          <w:rFonts w:ascii="Cambria Math" w:hAnsi="Cambria Math" w:eastAsiaTheme="minorHAnsi"/>
                          <w:i/>
                          <w:iCs/>
                          <w:sz w:val="20"/>
                          <w:lang w:eastAsia="en-GB"/>
                        </w:rPr>
                      </m:ctrlPr>
                    </m:sSubPr>
                    <m:e>
                      <m:r>
                        <w:rPr>
                          <w:rFonts w:ascii="Cambria Math" w:hAnsi="Cambria Math"/>
                          <w:sz w:val="20"/>
                          <w:lang w:eastAsia="en-GB"/>
                        </w:rPr>
                        <m:t>R</m:t>
                      </m:r>
                      <m:ctrlPr>
                        <w:rPr>
                          <w:rFonts w:ascii="Cambria Math" w:hAnsi="Cambria Math" w:eastAsiaTheme="minorHAnsi"/>
                          <w:i/>
                          <w:iCs/>
                          <w:sz w:val="20"/>
                          <w:lang w:eastAsia="en-GB"/>
                        </w:rPr>
                      </m:ctrlPr>
                    </m:e>
                    <m:sub>
                      <m:r>
                        <m:rPr>
                          <m:nor/>
                          <m:sty m:val="p"/>
                        </m:rPr>
                        <w:rPr>
                          <w:b w:val="0"/>
                          <w:i w:val="0"/>
                          <w:sz w:val="20"/>
                          <w:lang w:eastAsia="en-GB"/>
                        </w:rPr>
                        <m:t>y</m:t>
                      </m:r>
                      <m:ctrlPr>
                        <w:rPr>
                          <w:rFonts w:ascii="Cambria Math" w:hAnsi="Cambria Math" w:eastAsiaTheme="minorHAnsi"/>
                          <w:sz w:val="20"/>
                          <w:lang w:eastAsia="en-GB"/>
                        </w:rPr>
                      </m:ctrlPr>
                    </m:sub>
                  </m:sSub>
                  <m:ctrlPr>
                    <w:rPr>
                      <w:rFonts w:ascii="Cambria Math" w:hAnsi="Cambria Math" w:eastAsiaTheme="minorHAnsi"/>
                      <w:i/>
                      <w:iCs/>
                      <w:sz w:val="20"/>
                      <w:lang w:eastAsia="en-GB"/>
                    </w:rPr>
                  </m:ctrlPr>
                </m:e>
              </m:d>
            </m:oMath>
            <w:r>
              <w:rPr>
                <w:iCs/>
                <w:sz w:val="20"/>
                <w:lang w:eastAsia="en-GB"/>
              </w:rPr>
              <w:t xml:space="preserve"> resources, </w:t>
            </w:r>
            <w:r>
              <w:rPr>
                <w:sz w:val="20"/>
                <w:lang w:eastAsia="ko-KR"/>
              </w:rPr>
              <w:t xml:space="preserve">corresponds to </w:t>
            </w:r>
            <m:oMath>
              <m:sSub>
                <m:sSubPr>
                  <m:ctrlPr>
                    <w:rPr>
                      <w:rFonts w:ascii="Cambria Math" w:hAnsi="Cambria Math" w:eastAsiaTheme="minorHAnsi"/>
                      <w:i/>
                      <w:iCs/>
                      <w:sz w:val="20"/>
                      <w:lang w:eastAsia="en-GB"/>
                    </w:rPr>
                  </m:ctrlPr>
                </m:sSubPr>
                <m:e>
                  <m:r>
                    <w:rPr>
                      <w:rFonts w:ascii="Cambria Math" w:hAnsi="Cambria Math"/>
                      <w:sz w:val="20"/>
                      <w:lang w:eastAsia="en-GB"/>
                    </w:rPr>
                    <m:t>L</m:t>
                  </m:r>
                  <m:ctrlPr>
                    <w:rPr>
                      <w:rFonts w:ascii="Cambria Math" w:hAnsi="Cambria Math" w:eastAsiaTheme="minorHAnsi"/>
                      <w:i/>
                      <w:iCs/>
                      <w:sz w:val="20"/>
                      <w:lang w:eastAsia="en-GB"/>
                    </w:rPr>
                  </m:ctrlPr>
                </m:e>
                <m:sub>
                  <m:r>
                    <m:rPr>
                      <m:nor/>
                      <m:sty m:val="p"/>
                    </m:rPr>
                    <w:rPr>
                      <w:b w:val="0"/>
                      <w:i w:val="0"/>
                      <w:sz w:val="20"/>
                      <w:lang w:eastAsia="en-GB"/>
                    </w:rPr>
                    <m:t>subCH</m:t>
                  </m:r>
                  <m:ctrlPr>
                    <w:rPr>
                      <w:rFonts w:ascii="Cambria Math" w:hAnsi="Cambria Math" w:eastAsiaTheme="minorHAnsi"/>
                      <w:sz w:val="20"/>
                      <w:lang w:eastAsia="en-GB"/>
                    </w:rPr>
                  </m:ctrlPr>
                </m:sub>
              </m:sSub>
            </m:oMath>
            <w:r>
              <w:rPr>
                <w:sz w:val="20"/>
                <w:lang w:eastAsia="ko-KR"/>
              </w:rPr>
              <w:t xml:space="preserve"> contiguous sub-channels and a slot in a set of slots </w:t>
            </w:r>
            <m:oMath>
              <m:r>
                <m:rPr>
                  <m:sty m:val="p"/>
                </m:rPr>
                <w:rPr>
                  <w:rFonts w:ascii="Cambria Math" w:hAnsi="Cambria Math"/>
                  <w:strike/>
                  <w:color w:val="FF0000"/>
                  <w:sz w:val="20"/>
                  <w:lang w:eastAsia="ko-KR"/>
                </w:rPr>
                <m:t>{</m:t>
              </m:r>
              <m:sSubSup>
                <m:sSubSupPr>
                  <m:ctrlPr>
                    <w:rPr>
                      <w:rFonts w:ascii="Cambria Math" w:hAnsi="Cambria Math" w:cs="Calibri" w:eastAsiaTheme="minorHAnsi"/>
                      <w:i/>
                      <w:iCs/>
                      <w:strike/>
                      <w:color w:val="FF0000"/>
                      <w:sz w:val="20"/>
                      <w:lang w:eastAsia="en-GB"/>
                    </w:rPr>
                  </m:ctrlPr>
                </m:sSubSupPr>
                <m:e>
                  <m:r>
                    <w:rPr>
                      <w:rFonts w:ascii="Cambria Math" w:hAnsi="Cambria Math"/>
                      <w:strike/>
                      <w:color w:val="FF0000"/>
                      <w:sz w:val="20"/>
                      <w:lang w:eastAsia="en-GB"/>
                    </w:rPr>
                    <m:t>t</m:t>
                  </m:r>
                  <m:ctrlPr>
                    <w:rPr>
                      <w:rFonts w:ascii="Cambria Math" w:hAnsi="Cambria Math" w:cs="Calibri" w:eastAsiaTheme="minorHAnsi"/>
                      <w:i/>
                      <w:iCs/>
                      <w:strike/>
                      <w:color w:val="FF0000"/>
                      <w:sz w:val="20"/>
                      <w:lang w:eastAsia="en-GB"/>
                    </w:rPr>
                  </m:ctrlPr>
                </m:e>
                <m:sub>
                  <m:r>
                    <w:rPr>
                      <w:rFonts w:ascii="Cambria Math" w:hAnsi="Cambria Math"/>
                      <w:strike/>
                      <w:color w:val="FF0000"/>
                      <w:sz w:val="20"/>
                      <w:lang w:eastAsia="en-GB"/>
                    </w:rPr>
                    <m:t>y</m:t>
                  </m:r>
                  <m:ctrlPr>
                    <w:rPr>
                      <w:rFonts w:ascii="Cambria Math" w:hAnsi="Cambria Math" w:cs="Calibri" w:eastAsiaTheme="minorHAnsi"/>
                      <w:i/>
                      <w:iCs/>
                      <w:strike/>
                      <w:color w:val="FF0000"/>
                      <w:sz w:val="20"/>
                      <w:lang w:eastAsia="en-GB"/>
                    </w:rPr>
                  </m:ctrlPr>
                </m:sub>
                <m:sup>
                  <m:r>
                    <w:rPr>
                      <w:rFonts w:ascii="Cambria Math" w:hAnsi="Cambria Math"/>
                      <w:strike/>
                      <w:color w:val="FF0000"/>
                      <w:sz w:val="20"/>
                      <w:lang w:eastAsia="en-GB"/>
                    </w:rPr>
                    <m:t>SL</m:t>
                  </m:r>
                  <m:ctrlPr>
                    <w:rPr>
                      <w:rFonts w:ascii="Cambria Math" w:hAnsi="Cambria Math" w:cs="Calibri" w:eastAsiaTheme="minorHAnsi"/>
                      <w:i/>
                      <w:iCs/>
                      <w:strike/>
                      <w:color w:val="FF0000"/>
                      <w:sz w:val="20"/>
                      <w:lang w:eastAsia="en-GB"/>
                    </w:rPr>
                  </m:ctrlPr>
                </m:sup>
              </m:sSubSup>
              <m:r>
                <w:rPr>
                  <w:rFonts w:ascii="Cambria Math" w:hAnsi="Cambria Math" w:cs="Calibri" w:eastAsiaTheme="minorHAnsi"/>
                  <w:strike/>
                  <w:color w:val="FF0000"/>
                  <w:sz w:val="20"/>
                  <w:lang w:eastAsia="en-GB"/>
                </w:rPr>
                <m:t>}</m:t>
              </m:r>
            </m:oMath>
            <w:r>
              <w:rPr>
                <w:rFonts w:hint="eastAsia" w:eastAsia="DengXian"/>
                <w:iCs/>
                <w:color w:val="FF0000"/>
                <w:position w:val="-14"/>
                <w:sz w:val="20"/>
                <w:szCs w:val="22"/>
                <w:u w:val="single"/>
              </w:rPr>
              <w:object>
                <v:shape id="_x0000_i1026" o:spt="75" type="#_x0000_t75" style="height:17.2pt;width:23.1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sz w:val="20"/>
                <w:lang w:eastAsia="en-GB"/>
              </w:rPr>
              <w:t xml:space="preserve">, where </w:t>
            </w:r>
            <m:oMath>
              <m:sSub>
                <m:sSubPr>
                  <m:ctrlPr>
                    <w:rPr>
                      <w:rFonts w:ascii="Cambria Math" w:hAnsi="Cambria Math" w:cs="Calibri" w:eastAsiaTheme="minorHAnsi"/>
                      <w:i/>
                      <w:iCs/>
                      <w:sz w:val="20"/>
                    </w:rPr>
                  </m:ctrlPr>
                </m:sSubPr>
                <m:e>
                  <m:r>
                    <w:rPr>
                      <w:rFonts w:ascii="Cambria Math" w:hAnsi="Cambria Math"/>
                      <w:sz w:val="20"/>
                    </w:rPr>
                    <m:t>L</m:t>
                  </m:r>
                  <m:ctrlPr>
                    <w:rPr>
                      <w:rFonts w:ascii="Cambria Math" w:hAnsi="Cambria Math" w:cs="Calibri" w:eastAsiaTheme="minorHAnsi"/>
                      <w:i/>
                      <w:iCs/>
                      <w:sz w:val="20"/>
                    </w:rPr>
                  </m:ctrlPr>
                </m:e>
                <m:sub>
                  <m:r>
                    <m:rPr>
                      <m:nor/>
                      <m:sty m:val="p"/>
                    </m:rPr>
                    <w:rPr>
                      <w:b w:val="0"/>
                      <w:i w:val="0"/>
                      <w:sz w:val="20"/>
                    </w:rPr>
                    <m:t>subCH</m:t>
                  </m:r>
                  <m:ctrlPr>
                    <w:rPr>
                      <w:rFonts w:ascii="Cambria Math" w:hAnsi="Cambria Math" w:cs="Calibri" w:eastAsiaTheme="minorHAnsi"/>
                      <w:sz w:val="20"/>
                    </w:rPr>
                  </m:ctrlPr>
                </m:sub>
              </m:sSub>
            </m:oMath>
            <w:r>
              <w:rPr>
                <w:sz w:val="20"/>
              </w:rPr>
              <w:t xml:space="preserve"> is the number of sub-channels available for PSSCH/PSCCH transmission in a slot</w:t>
            </w:r>
          </w:p>
          <w:p>
            <w:pPr>
              <w:pStyle w:val="61"/>
              <w:widowControl w:val="0"/>
              <w:spacing w:before="120" w:after="120"/>
              <w:rPr>
                <w:sz w:val="20"/>
              </w:rPr>
            </w:pPr>
            <w:r>
              <w:rPr>
                <w:iCs/>
                <w:sz w:val="20"/>
              </w:rPr>
              <w:t>-</w:t>
            </w:r>
            <w:r>
              <w:rPr>
                <w:iCs/>
                <w:sz w:val="20"/>
              </w:rPr>
              <w:tab/>
            </w:r>
            <m:oMath>
              <m:d>
                <m:dPr>
                  <m:ctrlPr>
                    <w:rPr>
                      <w:rFonts w:ascii="Cambria Math" w:hAnsi="Cambria Math" w:cs="Calibri" w:eastAsiaTheme="minorHAnsi"/>
                      <w:i/>
                      <w:iCs/>
                      <w:sz w:val="20"/>
                    </w:rPr>
                  </m:ctrlPr>
                </m:dPr>
                <m:e>
                  <m:sSubSup>
                    <m:sSubSupPr>
                      <m:ctrlPr>
                        <w:rPr>
                          <w:rFonts w:ascii="Cambria Math" w:hAnsi="Cambria Math" w:cs="Calibri" w:eastAsiaTheme="minorHAnsi"/>
                          <w:i/>
                          <w:iCs/>
                          <w:sz w:val="20"/>
                        </w:rPr>
                      </m:ctrlPr>
                    </m:sSubSupPr>
                    <m:e>
                      <m:r>
                        <w:rPr>
                          <w:rFonts w:ascii="Cambria Math" w:hAnsi="Cambria Math"/>
                          <w:sz w:val="20"/>
                        </w:rPr>
                        <m:t>t'</m:t>
                      </m:r>
                      <m:ctrlPr>
                        <w:rPr>
                          <w:rFonts w:ascii="Cambria Math" w:hAnsi="Cambria Math" w:cs="Calibri" w:eastAsiaTheme="minorHAnsi"/>
                          <w:i/>
                          <w:iCs/>
                          <w:sz w:val="20"/>
                        </w:rPr>
                      </m:ctrlPr>
                    </m:e>
                    <m:sub>
                      <m:r>
                        <w:rPr>
                          <w:rFonts w:ascii="Cambria Math" w:hAnsi="Cambria Math"/>
                          <w:sz w:val="20"/>
                        </w:rPr>
                        <m:t>0</m:t>
                      </m:r>
                      <m:ctrlPr>
                        <w:rPr>
                          <w:rFonts w:ascii="Cambria Math" w:hAnsi="Cambria Math" w:cs="Calibri" w:eastAsiaTheme="minorHAnsi"/>
                          <w:i/>
                          <w:iCs/>
                          <w:sz w:val="20"/>
                        </w:rPr>
                      </m:ctrlPr>
                    </m:sub>
                    <m:sup>
                      <m:r>
                        <w:rPr>
                          <w:rFonts w:ascii="Cambria Math" w:hAnsi="Cambria Math"/>
                          <w:sz w:val="20"/>
                        </w:rPr>
                        <m:t>SL</m:t>
                      </m:r>
                      <m:ctrlPr>
                        <w:rPr>
                          <w:rFonts w:ascii="Cambria Math" w:hAnsi="Cambria Math" w:cs="Calibri" w:eastAsiaTheme="minorHAnsi"/>
                          <w:i/>
                          <w:iCs/>
                          <w:sz w:val="20"/>
                        </w:rPr>
                      </m:ctrlPr>
                    </m:sup>
                  </m:sSubSup>
                  <m:r>
                    <w:rPr>
                      <w:rFonts w:ascii="Cambria Math" w:hAnsi="Cambria Math"/>
                      <w:sz w:val="20"/>
                    </w:rPr>
                    <m:t>,</m:t>
                  </m:r>
                  <m:sSubSup>
                    <m:sSubSupPr>
                      <m:ctrlPr>
                        <w:rPr>
                          <w:rFonts w:ascii="Cambria Math" w:hAnsi="Cambria Math" w:cs="Calibri" w:eastAsiaTheme="minorHAnsi"/>
                          <w:i/>
                          <w:iCs/>
                          <w:sz w:val="20"/>
                        </w:rPr>
                      </m:ctrlPr>
                    </m:sSubSupPr>
                    <m:e>
                      <m:r>
                        <w:rPr>
                          <w:rFonts w:ascii="Cambria Math" w:hAnsi="Cambria Math"/>
                          <w:sz w:val="20"/>
                        </w:rPr>
                        <m:t>t'</m:t>
                      </m:r>
                      <m:ctrlPr>
                        <w:rPr>
                          <w:rFonts w:ascii="Cambria Math" w:hAnsi="Cambria Math" w:cs="Calibri" w:eastAsiaTheme="minorHAnsi"/>
                          <w:i/>
                          <w:iCs/>
                          <w:sz w:val="20"/>
                        </w:rPr>
                      </m:ctrlPr>
                    </m:e>
                    <m:sub>
                      <m:r>
                        <w:rPr>
                          <w:rFonts w:ascii="Cambria Math" w:hAnsi="Cambria Math"/>
                          <w:sz w:val="20"/>
                        </w:rPr>
                        <m:t>1</m:t>
                      </m:r>
                      <m:ctrlPr>
                        <w:rPr>
                          <w:rFonts w:ascii="Cambria Math" w:hAnsi="Cambria Math" w:cs="Calibri" w:eastAsiaTheme="minorHAnsi"/>
                          <w:i/>
                          <w:iCs/>
                          <w:sz w:val="20"/>
                        </w:rPr>
                      </m:ctrlPr>
                    </m:sub>
                    <m:sup>
                      <m:r>
                        <w:rPr>
                          <w:rFonts w:ascii="Cambria Math" w:hAnsi="Cambria Math"/>
                          <w:sz w:val="20"/>
                        </w:rPr>
                        <m:t>SL</m:t>
                      </m:r>
                      <m:ctrlPr>
                        <w:rPr>
                          <w:rFonts w:ascii="Cambria Math" w:hAnsi="Cambria Math" w:cs="Calibri" w:eastAsiaTheme="minorHAnsi"/>
                          <w:i/>
                          <w:iCs/>
                          <w:sz w:val="20"/>
                        </w:rPr>
                      </m:ctrlPr>
                    </m:sup>
                  </m:sSubSup>
                  <m:r>
                    <w:rPr>
                      <w:rFonts w:ascii="Cambria Math" w:hAnsi="Cambria Math"/>
                      <w:sz w:val="20"/>
                    </w:rPr>
                    <m:t>,</m:t>
                  </m:r>
                  <m:sSubSup>
                    <m:sSubSupPr>
                      <m:ctrlPr>
                        <w:rPr>
                          <w:rFonts w:ascii="Cambria Math" w:hAnsi="Cambria Math" w:cs="Calibri" w:eastAsiaTheme="minorHAnsi"/>
                          <w:i/>
                          <w:iCs/>
                          <w:sz w:val="20"/>
                        </w:rPr>
                      </m:ctrlPr>
                    </m:sSubSupPr>
                    <m:e>
                      <m:r>
                        <w:rPr>
                          <w:rFonts w:ascii="Cambria Math" w:hAnsi="Cambria Math"/>
                          <w:sz w:val="20"/>
                        </w:rPr>
                        <m:t>t'</m:t>
                      </m:r>
                      <m:ctrlPr>
                        <w:rPr>
                          <w:rFonts w:ascii="Cambria Math" w:hAnsi="Cambria Math" w:cs="Calibri" w:eastAsiaTheme="minorHAnsi"/>
                          <w:i/>
                          <w:iCs/>
                          <w:sz w:val="20"/>
                        </w:rPr>
                      </m:ctrlPr>
                    </m:e>
                    <m:sub>
                      <m:r>
                        <w:rPr>
                          <w:rFonts w:ascii="Cambria Math" w:hAnsi="Cambria Math"/>
                          <w:sz w:val="20"/>
                        </w:rPr>
                        <m:t>2</m:t>
                      </m:r>
                      <m:ctrlPr>
                        <w:rPr>
                          <w:rFonts w:ascii="Cambria Math" w:hAnsi="Cambria Math" w:cs="Calibri" w:eastAsiaTheme="minorHAnsi"/>
                          <w:i/>
                          <w:iCs/>
                          <w:sz w:val="20"/>
                        </w:rPr>
                      </m:ctrlPr>
                    </m:sub>
                    <m:sup>
                      <m:r>
                        <w:rPr>
                          <w:rFonts w:ascii="Cambria Math" w:hAnsi="Cambria Math"/>
                          <w:sz w:val="20"/>
                        </w:rPr>
                        <m:t>SL</m:t>
                      </m:r>
                      <m:ctrlPr>
                        <w:rPr>
                          <w:rFonts w:ascii="Cambria Math" w:hAnsi="Cambria Math" w:cs="Calibri" w:eastAsiaTheme="minorHAnsi"/>
                          <w:i/>
                          <w:iCs/>
                          <w:sz w:val="20"/>
                        </w:rPr>
                      </m:ctrlPr>
                    </m:sup>
                  </m:sSubSup>
                  <m:r>
                    <w:rPr>
                      <w:rFonts w:ascii="Cambria Math" w:hAnsi="Cambria Math"/>
                      <w:sz w:val="20"/>
                    </w:rPr>
                    <m:t>,...</m:t>
                  </m:r>
                  <m:ctrlPr>
                    <w:rPr>
                      <w:rFonts w:ascii="Cambria Math" w:hAnsi="Cambria Math" w:cs="Calibri" w:eastAsiaTheme="minorHAnsi"/>
                      <w:i/>
                      <w:iCs/>
                      <w:sz w:val="20"/>
                    </w:rPr>
                  </m:ctrlPr>
                </m:e>
              </m:d>
            </m:oMath>
            <w:r>
              <w:rPr>
                <w:sz w:val="20"/>
                <w:lang w:eastAsia="ko-KR"/>
              </w:rPr>
              <w:t xml:space="preserve"> </w:t>
            </w:r>
            <w:r>
              <w:rPr>
                <w:sz w:val="20"/>
              </w:rPr>
              <w:t>is a</w:t>
            </w:r>
            <w:r>
              <w:rPr>
                <w:sz w:val="20"/>
                <w:lang w:eastAsia="ko-KR"/>
              </w:rPr>
              <w:t xml:space="preserve"> </w:t>
            </w:r>
            <w:r>
              <w:rPr>
                <w:sz w:val="20"/>
              </w:rPr>
              <w:t>set</w:t>
            </w:r>
            <w:r>
              <w:rPr>
                <w:sz w:val="20"/>
                <w:lang w:eastAsia="ko-KR"/>
              </w:rPr>
              <w:t xml:space="preserve"> of slots in a </w:t>
            </w:r>
            <w:r>
              <w:rPr>
                <w:sz w:val="18"/>
                <w:szCs w:val="18"/>
                <w:highlight w:val="none"/>
                <w:lang w:eastAsia="ko-KR"/>
              </w:rPr>
              <w:t xml:space="preserve">sidelink resource pool [6, </w:t>
            </w:r>
            <w:r>
              <w:rPr>
                <w:sz w:val="20"/>
                <w:lang w:eastAsia="ko-KR"/>
              </w:rPr>
              <w:t>TS 38.214]</w:t>
            </w:r>
          </w:p>
          <w:p>
            <w:pPr>
              <w:pStyle w:val="61"/>
              <w:widowControl w:val="0"/>
              <w:spacing w:before="120" w:after="120"/>
              <w:rPr>
                <w:sz w:val="20"/>
              </w:rPr>
            </w:pPr>
            <w:r>
              <w:rPr>
                <w:iCs/>
                <w:sz w:val="20"/>
              </w:rPr>
              <w:t>-</w:t>
            </w:r>
            <w:r>
              <w:rPr>
                <w:iCs/>
                <w:sz w:val="20"/>
              </w:rPr>
              <w:tab/>
            </w:r>
            <m:oMath>
              <m:sSub>
                <m:sSubPr>
                  <m:ctrlPr>
                    <w:rPr>
                      <w:rFonts w:ascii="Cambria Math" w:hAnsi="Cambria Math" w:cs="Calibri" w:eastAsiaTheme="minorHAnsi"/>
                      <w:i/>
                      <w:iCs/>
                      <w:sz w:val="20"/>
                    </w:rPr>
                  </m:ctrlPr>
                </m:sSubPr>
                <m:e>
                  <m:r>
                    <w:rPr>
                      <w:rFonts w:ascii="Cambria Math" w:hAnsi="Cambria Math"/>
                      <w:sz w:val="20"/>
                    </w:rPr>
                    <m:t>y</m:t>
                  </m:r>
                  <m:ctrlPr>
                    <w:rPr>
                      <w:rFonts w:ascii="Cambria Math" w:hAnsi="Cambria Math" w:cs="Calibri" w:eastAsiaTheme="minorHAnsi"/>
                      <w:i/>
                      <w:iCs/>
                      <w:sz w:val="20"/>
                    </w:rPr>
                  </m:ctrlPr>
                </m:e>
                <m:sub>
                  <m:r>
                    <w:rPr>
                      <w:rFonts w:ascii="Cambria Math" w:hAnsi="Cambria Math"/>
                      <w:sz w:val="20"/>
                    </w:rPr>
                    <m:t>0</m:t>
                  </m:r>
                  <m:ctrlPr>
                    <w:rPr>
                      <w:rFonts w:ascii="Cambria Math" w:hAnsi="Cambria Math" w:cs="Calibri" w:eastAsiaTheme="minorHAnsi"/>
                      <w:i/>
                      <w:iCs/>
                      <w:sz w:val="20"/>
                    </w:rPr>
                  </m:ctrlPr>
                </m:sub>
              </m:sSub>
            </m:oMath>
            <w:r>
              <w:rPr>
                <w:sz w:val="20"/>
              </w:rPr>
              <w:t xml:space="preserve"> is an </w:t>
            </w:r>
            <w:r>
              <w:rPr>
                <w:sz w:val="20"/>
                <w:lang w:eastAsia="ko-KR"/>
              </w:rPr>
              <w:t>index</w:t>
            </w:r>
            <w:r>
              <w:rPr>
                <w:sz w:val="20"/>
              </w:rPr>
              <w:t xml:space="preserve"> of a slot where the PSCCH with SCI format 1-A is transmitted.</w:t>
            </w:r>
          </w:p>
          <w:p>
            <w:pPr>
              <w:widowControl w:val="0"/>
              <w:spacing w:before="120" w:after="120"/>
              <w:jc w:val="center"/>
            </w:pPr>
            <w:r>
              <w:rPr>
                <w:b/>
                <w:iCs/>
                <w:color w:val="FF0000"/>
                <w:sz w:val="20"/>
                <w:szCs w:val="22"/>
              </w:rPr>
              <w:t>&lt;Unchanged parts are omitted&gt;</w:t>
            </w:r>
          </w:p>
        </w:tc>
      </w:tr>
    </w:tbl>
    <w:p>
      <w:pPr>
        <w:pStyle w:val="3"/>
        <w:spacing w:before="120" w:after="120" w:line="259" w:lineRule="auto"/>
        <w:ind w:left="991" w:right="210" w:hanging="991" w:hangingChars="354"/>
        <w:rPr>
          <w:rFonts w:eastAsia="宋体"/>
          <w:szCs w:val="22"/>
          <w:highlight w:val="none"/>
        </w:rPr>
      </w:pPr>
      <w:r>
        <w:rPr>
          <w:rFonts w:hint="eastAsia" w:eastAsia="宋体"/>
          <w:color w:val="auto"/>
          <w:szCs w:val="22"/>
          <w:highlight w:val="none"/>
          <w:u w:val="none"/>
          <w:lang w:val="en-US" w:eastAsia="zh-CN"/>
        </w:rPr>
        <w:t>S</w:t>
      </w:r>
      <w:r>
        <w:rPr>
          <w:rFonts w:hint="eastAsia" w:eastAsia="宋体"/>
          <w:color w:val="auto"/>
          <w:szCs w:val="22"/>
          <w:highlight w:val="none"/>
          <w:u w:val="none"/>
          <w:lang w:val="en-US" w:eastAsia="ko-KR"/>
        </w:rPr>
        <w:t xml:space="preserve">ensing </w:t>
      </w:r>
      <w:r>
        <w:rPr>
          <w:rFonts w:hint="eastAsia" w:eastAsia="宋体"/>
          <w:color w:val="auto"/>
          <w:szCs w:val="22"/>
          <w:highlight w:val="none"/>
          <w:u w:val="none"/>
          <w:lang w:val="en-US" w:eastAsia="zh-CN"/>
        </w:rPr>
        <w:t>procedure</w:t>
      </w:r>
    </w:p>
    <w:p>
      <w:pPr>
        <w:rPr>
          <w:rFonts w:hint="eastAsia" w:eastAsia="宋体"/>
          <w:color w:val="auto"/>
          <w:szCs w:val="22"/>
          <w:highlight w:val="none"/>
          <w:u w:val="none"/>
          <w:lang w:val="en-US" w:eastAsia="zh-CN"/>
        </w:rPr>
      </w:pPr>
      <w:r>
        <w:rPr>
          <w:rFonts w:hint="eastAsia"/>
          <w:color w:val="auto"/>
          <w:szCs w:val="22"/>
          <w:highlight w:val="none"/>
          <w:u w:val="none"/>
          <w:lang w:val="en-US" w:eastAsia="zh-CN"/>
        </w:rPr>
        <w:t xml:space="preserve">In the sensing process of the current Rel-16 V2X specification, a UE shall monitor slots which can belong to a sidelink resource pool within the sensing window except for those in which its own transmissions occur[2], that means UE shall monitor the sidelink slots both in and out the resource pool. </w:t>
      </w:r>
      <w:r>
        <w:rPr>
          <w:rFonts w:hint="default" w:eastAsia="宋体"/>
          <w:color w:val="auto"/>
          <w:szCs w:val="22"/>
          <w:highlight w:val="none"/>
          <w:u w:val="none"/>
          <w:lang w:val="en-US" w:eastAsia="zh-CN"/>
        </w:rPr>
        <w:t>In order to save energy</w:t>
      </w:r>
      <w:r>
        <w:rPr>
          <w:rFonts w:hint="eastAsia"/>
          <w:color w:val="auto"/>
          <w:szCs w:val="22"/>
          <w:highlight w:val="none"/>
          <w:u w:val="none"/>
          <w:lang w:val="en-US" w:eastAsia="zh-CN"/>
        </w:rPr>
        <w:t xml:space="preserve"> </w:t>
      </w:r>
      <w:r>
        <w:rPr>
          <w:rFonts w:hint="default" w:eastAsia="宋体"/>
          <w:color w:val="auto"/>
          <w:szCs w:val="22"/>
          <w:highlight w:val="none"/>
          <w:u w:val="none"/>
          <w:lang w:val="en-US" w:eastAsia="zh-CN"/>
        </w:rPr>
        <w:t xml:space="preserve">consumption, </w:t>
      </w:r>
      <w:r>
        <w:rPr>
          <w:rFonts w:hint="eastAsia"/>
          <w:color w:val="auto"/>
          <w:szCs w:val="22"/>
          <w:highlight w:val="none"/>
          <w:u w:val="none"/>
          <w:lang w:val="en-US" w:eastAsia="zh-CN"/>
        </w:rPr>
        <w:t xml:space="preserve">within the sensing window, </w:t>
      </w:r>
      <w:r>
        <w:rPr>
          <w:rFonts w:hint="default" w:eastAsia="宋体"/>
          <w:color w:val="auto"/>
          <w:szCs w:val="22"/>
          <w:highlight w:val="none"/>
          <w:u w:val="none"/>
          <w:lang w:val="en-US" w:eastAsia="zh-CN"/>
        </w:rPr>
        <w:t xml:space="preserve">it is </w:t>
      </w:r>
      <w:r>
        <w:rPr>
          <w:rFonts w:hint="eastAsia"/>
          <w:color w:val="auto"/>
          <w:szCs w:val="22"/>
          <w:highlight w:val="none"/>
          <w:u w:val="none"/>
          <w:lang w:val="en-US" w:eastAsia="zh-CN"/>
        </w:rPr>
        <w:t xml:space="preserve">suggested </w:t>
      </w:r>
      <w:r>
        <w:rPr>
          <w:rFonts w:hint="default" w:eastAsia="宋体"/>
          <w:color w:val="auto"/>
          <w:szCs w:val="22"/>
          <w:highlight w:val="none"/>
          <w:u w:val="none"/>
          <w:lang w:val="en-US" w:eastAsia="zh-CN"/>
        </w:rPr>
        <w:t xml:space="preserve">that UE </w:t>
      </w:r>
      <w:r>
        <w:rPr>
          <w:rFonts w:hint="eastAsia"/>
          <w:color w:val="auto"/>
          <w:szCs w:val="22"/>
          <w:highlight w:val="none"/>
          <w:u w:val="none"/>
          <w:lang w:val="en-US" w:eastAsia="zh-CN"/>
        </w:rPr>
        <w:t xml:space="preserve">shall monitor the slots </w:t>
      </w:r>
      <w:r>
        <w:rPr>
          <w:rFonts w:hint="default" w:eastAsia="宋体"/>
          <w:color w:val="auto"/>
          <w:szCs w:val="22"/>
          <w:highlight w:val="none"/>
          <w:u w:val="none"/>
          <w:lang w:val="en-US" w:eastAsia="zh-CN"/>
        </w:rPr>
        <w:t>only in the</w:t>
      </w:r>
      <w:r>
        <w:rPr>
          <w:rFonts w:hint="eastAsia"/>
          <w:color w:val="auto"/>
          <w:szCs w:val="22"/>
          <w:highlight w:val="none"/>
          <w:u w:val="none"/>
          <w:lang w:val="en-US" w:eastAsia="zh-CN"/>
        </w:rPr>
        <w:t xml:space="preserve"> sidelink resource pool</w:t>
      </w:r>
      <w:r>
        <w:rPr>
          <w:rFonts w:hint="default" w:eastAsia="宋体"/>
          <w:color w:val="auto"/>
          <w:szCs w:val="22"/>
          <w:highlight w:val="none"/>
          <w:u w:val="none"/>
          <w:lang w:val="en-US" w:eastAsia="zh-CN"/>
        </w:rPr>
        <w:t>.</w:t>
      </w:r>
    </w:p>
    <w:p>
      <w:pPr>
        <w:pStyle w:val="36"/>
        <w:spacing w:before="120" w:after="120" w:line="260" w:lineRule="auto"/>
        <w:jc w:val="both"/>
        <w:rPr>
          <w:color w:val="auto"/>
          <w:u w:val="none"/>
          <w:lang w:val="en-US" w:eastAsia="zh-CN"/>
        </w:rPr>
      </w:pPr>
      <w:bookmarkStart w:id="8" w:name="_Toc25894"/>
      <w:bookmarkStart w:id="9" w:name="_Toc18862"/>
      <w:r>
        <w:rPr>
          <w:rFonts w:hint="eastAsia"/>
          <w:color w:val="auto"/>
          <w:szCs w:val="22"/>
          <w:u w:val="none"/>
          <w:lang w:val="en-US" w:eastAsia="zh-CN"/>
        </w:rPr>
        <w:t>To adopt the foll</w:t>
      </w:r>
      <w:r>
        <w:rPr>
          <w:color w:val="auto"/>
          <w:szCs w:val="22"/>
          <w:u w:val="none"/>
          <w:lang w:val="en-US" w:eastAsia="zh-CN"/>
        </w:rPr>
        <w:t>o</w:t>
      </w:r>
      <w:r>
        <w:rPr>
          <w:rFonts w:hint="eastAsia"/>
          <w:color w:val="auto"/>
          <w:szCs w:val="22"/>
          <w:u w:val="none"/>
          <w:lang w:val="en-US" w:eastAsia="zh-CN"/>
        </w:rPr>
        <w:t xml:space="preserve">wing </w:t>
      </w:r>
      <w:r>
        <w:rPr>
          <w:color w:val="auto"/>
          <w:szCs w:val="22"/>
          <w:u w:val="none"/>
          <w:lang w:val="en-US" w:eastAsia="zh-CN"/>
        </w:rPr>
        <w:t>TP for</w:t>
      </w:r>
      <w:r>
        <w:rPr>
          <w:rFonts w:hint="eastAsia"/>
          <w:color w:val="auto"/>
          <w:szCs w:val="22"/>
          <w:u w:val="none"/>
          <w:lang w:val="en-US" w:eastAsia="zh-CN"/>
        </w:rPr>
        <w:t xml:space="preserve"> TS 38.214.</w:t>
      </w:r>
      <w:bookmarkEnd w:id="8"/>
      <w:bookmarkEnd w:id="9"/>
    </w:p>
    <w:tbl>
      <w:tblPr>
        <w:tblStyle w:val="23"/>
        <w:tblpPr w:leftFromText="180" w:rightFromText="180" w:vertAnchor="text" w:horzAnchor="page" w:tblpX="1445" w:tblpY="211"/>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spacing w:after="120"/>
              <w:ind w:right="210"/>
              <w:outlineLvl w:val="2"/>
              <w:rPr>
                <w:color w:val="000000"/>
              </w:rPr>
            </w:pPr>
            <w:r>
              <w:rPr>
                <w:color w:val="000000"/>
              </w:rPr>
              <w:t>8.1.4</w:t>
            </w:r>
            <w:r>
              <w:rPr>
                <w:color w:val="000000"/>
              </w:rPr>
              <w:tab/>
            </w:r>
            <w:r>
              <w:rPr>
                <w:color w:val="000000"/>
              </w:rPr>
              <w:t>UE procedure for determining the subset of resources to be reported to higher layers in PSSCH resource selection in sidelink resource allocation mode 2</w:t>
            </w:r>
          </w:p>
          <w:p>
            <w:pPr>
              <w:widowControl w:val="0"/>
              <w:spacing w:before="120" w:after="120"/>
              <w:jc w:val="center"/>
              <w:rPr>
                <w:sz w:val="20"/>
              </w:rPr>
            </w:pPr>
            <w:r>
              <w:rPr>
                <w:b/>
                <w:iCs/>
                <w:color w:val="FF0000"/>
                <w:sz w:val="20"/>
              </w:rPr>
              <w:t>&lt;Unchanged parts are omitted&gt;</w:t>
            </w:r>
          </w:p>
          <w:p>
            <w:pPr>
              <w:pStyle w:val="51"/>
              <w:widowControl w:val="0"/>
              <w:rPr>
                <w:rFonts w:eastAsia="Malgun Gothic"/>
                <w:sz w:val="20"/>
                <w:szCs w:val="20"/>
                <w:lang w:eastAsia="ko-KR"/>
              </w:rPr>
            </w:pPr>
            <w:r>
              <w:rPr>
                <w:rFonts w:eastAsia="Malgun Gothic"/>
                <w:sz w:val="20"/>
                <w:szCs w:val="20"/>
                <w:lang w:val="en-US" w:eastAsia="ko-KR"/>
              </w:rPr>
              <w:t>2</w:t>
            </w:r>
            <w:r>
              <w:rPr>
                <w:rFonts w:eastAsia="Malgun Gothic"/>
                <w:sz w:val="20"/>
                <w:szCs w:val="20"/>
                <w:lang w:eastAsia="ko-KR"/>
              </w:rPr>
              <w:t>)</w:t>
            </w:r>
            <w:r>
              <w:rPr>
                <w:rFonts w:eastAsia="Malgun Gothic"/>
                <w:sz w:val="20"/>
                <w:szCs w:val="20"/>
                <w:lang w:eastAsia="ko-KR"/>
              </w:rPr>
              <w:tab/>
            </w:r>
            <w:r>
              <w:rPr>
                <w:rFonts w:eastAsia="Malgun Gothic"/>
                <w:sz w:val="20"/>
                <w:szCs w:val="20"/>
                <w:lang w:eastAsia="ko-KR"/>
              </w:rPr>
              <w:t>The sensing window is defined by the range of slots [</w:t>
            </w:r>
            <m:oMath>
              <w:bookmarkStart w:id="10" w:name="_Hlk26192698"/>
              <m:r>
                <w:rPr>
                  <w:rFonts w:ascii="Cambria Math" w:hAnsi="Cambria Math" w:eastAsia="Malgun Gothic"/>
                  <w:sz w:val="20"/>
                  <w:szCs w:val="20"/>
                  <w:lang w:eastAsia="ko-KR"/>
                </w:rPr>
                <m:t>n –</m:t>
              </m:r>
              <m:sSub>
                <m:sSubPr>
                  <m:ctrlPr>
                    <w:rPr>
                      <w:rFonts w:ascii="Cambria Math" w:hAnsi="Cambria Math" w:eastAsia="Malgun Gothic"/>
                      <w:i/>
                      <w:sz w:val="20"/>
                      <w:szCs w:val="20"/>
                      <w:lang w:eastAsia="ko-KR"/>
                    </w:rPr>
                  </m:ctrlPr>
                </m:sSubPr>
                <m:e>
                  <m:r>
                    <w:rPr>
                      <w:rFonts w:ascii="Cambria Math" w:hAnsi="Cambria Math" w:eastAsia="Malgun Gothic"/>
                      <w:sz w:val="20"/>
                      <w:szCs w:val="20"/>
                      <w:lang w:eastAsia="ko-KR"/>
                    </w:rPr>
                    <m:t>T</m:t>
                  </m:r>
                  <m:ctrlPr>
                    <w:rPr>
                      <w:rFonts w:ascii="Cambria Math" w:hAnsi="Cambria Math" w:eastAsia="Malgun Gothic"/>
                      <w:i/>
                      <w:sz w:val="20"/>
                      <w:szCs w:val="20"/>
                      <w:lang w:eastAsia="ko-KR"/>
                    </w:rPr>
                  </m:ctrlPr>
                </m:e>
                <m:sub>
                  <m:r>
                    <w:rPr>
                      <w:rFonts w:ascii="Cambria Math" w:hAnsi="Cambria Math" w:eastAsia="Malgun Gothic"/>
                      <w:sz w:val="20"/>
                      <w:szCs w:val="20"/>
                      <w:lang w:eastAsia="ko-KR"/>
                    </w:rPr>
                    <m:t>0</m:t>
                  </m:r>
                  <m:ctrlPr>
                    <w:rPr>
                      <w:rFonts w:ascii="Cambria Math" w:hAnsi="Cambria Math" w:eastAsia="Malgun Gothic"/>
                      <w:i/>
                      <w:sz w:val="20"/>
                      <w:szCs w:val="20"/>
                      <w:lang w:eastAsia="ko-KR"/>
                    </w:rPr>
                  </m:ctrlPr>
                </m:sub>
              </m:sSub>
              <m:r>
                <w:rPr>
                  <w:rFonts w:ascii="Cambria Math" w:hAnsi="Cambria Math" w:eastAsia="Malgun Gothic"/>
                  <w:sz w:val="20"/>
                  <w:szCs w:val="20"/>
                  <w:lang w:eastAsia="ko-KR"/>
                </w:rPr>
                <m:t>,n–</m:t>
              </m:r>
              <w:bookmarkEnd w:id="10"/>
              <m:sSubSup>
                <m:sSubSupPr>
                  <m:ctrlPr>
                    <w:rPr>
                      <w:rFonts w:ascii="Cambria Math" w:hAnsi="Cambria Math" w:eastAsia="Malgun Gothic"/>
                      <w:i/>
                      <w:sz w:val="20"/>
                      <w:szCs w:val="20"/>
                      <w:lang w:val="de-DE" w:eastAsia="ko-KR"/>
                    </w:rPr>
                  </m:ctrlPr>
                </m:sSubSupPr>
                <m:e>
                  <m:r>
                    <w:rPr>
                      <w:rFonts w:ascii="Cambria Math" w:hAnsi="Cambria Math" w:eastAsia="Malgun Gothic"/>
                      <w:sz w:val="20"/>
                      <w:szCs w:val="20"/>
                      <w:lang w:val="de-DE" w:eastAsia="ko-KR"/>
                    </w:rPr>
                    <m:t>T</m:t>
                  </m:r>
                  <m:ctrlPr>
                    <w:rPr>
                      <w:rFonts w:ascii="Cambria Math" w:hAnsi="Cambria Math" w:eastAsia="Malgun Gothic"/>
                      <w:i/>
                      <w:sz w:val="20"/>
                      <w:szCs w:val="20"/>
                      <w:lang w:val="de-DE" w:eastAsia="ko-KR"/>
                    </w:rPr>
                  </m:ctrlPr>
                </m:e>
                <m:sub>
                  <m:r>
                    <w:rPr>
                      <w:rFonts w:ascii="Cambria Math" w:hAnsi="Cambria Math" w:eastAsia="Malgun Gothic"/>
                      <w:sz w:val="20"/>
                      <w:szCs w:val="20"/>
                      <w:lang w:val="de-DE" w:eastAsia="ko-KR"/>
                    </w:rPr>
                    <m:t>proc</m:t>
                  </m:r>
                  <m:r>
                    <m:rPr>
                      <m:sty m:val="p"/>
                    </m:rPr>
                    <w:rPr>
                      <w:rFonts w:ascii="Cambria Math" w:hAnsi="Cambria Math" w:eastAsia="Malgun Gothic"/>
                      <w:sz w:val="20"/>
                      <w:szCs w:val="20"/>
                      <w:lang w:eastAsia="ko-KR"/>
                    </w:rPr>
                    <m:t>,0</m:t>
                  </m:r>
                  <m:ctrlPr>
                    <w:rPr>
                      <w:rFonts w:ascii="Cambria Math" w:hAnsi="Cambria Math" w:eastAsia="Malgun Gothic"/>
                      <w:sz w:val="20"/>
                      <w:szCs w:val="20"/>
                      <w:lang w:eastAsia="ko-KR"/>
                    </w:rPr>
                  </m:ctrlPr>
                </m:sub>
                <m:sup>
                  <m:r>
                    <w:rPr>
                      <w:rFonts w:ascii="Cambria Math" w:hAnsi="Cambria Math" w:eastAsia="Malgun Gothic"/>
                      <w:sz w:val="20"/>
                      <w:szCs w:val="20"/>
                      <w:lang w:val="de-DE" w:eastAsia="ko-KR"/>
                    </w:rPr>
                    <m:t>SL</m:t>
                  </m:r>
                  <m:ctrlPr>
                    <w:rPr>
                      <w:rFonts w:ascii="Cambria Math" w:hAnsi="Cambria Math" w:eastAsia="Malgun Gothic"/>
                      <w:i/>
                      <w:sz w:val="20"/>
                      <w:szCs w:val="20"/>
                      <w:lang w:val="de-DE" w:eastAsia="ko-KR"/>
                    </w:rPr>
                  </m:ctrlPr>
                </m:sup>
              </m:sSubSup>
            </m:oMath>
            <w:r>
              <w:rPr>
                <w:rFonts w:eastAsia="Malgun Gothic"/>
                <w:sz w:val="20"/>
                <w:szCs w:val="20"/>
                <w:lang w:eastAsia="ko-KR"/>
              </w:rPr>
              <w:t xml:space="preserve">) where </w:t>
            </w:r>
            <m:oMath>
              <m:sSub>
                <m:sSubPr>
                  <m:ctrlPr>
                    <w:rPr>
                      <w:rFonts w:ascii="Cambria Math" w:hAnsi="Cambria Math" w:eastAsia="Malgun Gothic"/>
                      <w:i/>
                      <w:sz w:val="20"/>
                      <w:szCs w:val="20"/>
                      <w:lang w:eastAsia="ko-KR"/>
                    </w:rPr>
                  </m:ctrlPr>
                </m:sSubPr>
                <m:e>
                  <m:r>
                    <w:rPr>
                      <w:rFonts w:ascii="Cambria Math" w:hAnsi="Cambria Math" w:eastAsia="Malgun Gothic"/>
                      <w:sz w:val="20"/>
                      <w:szCs w:val="20"/>
                      <w:lang w:eastAsia="ko-KR"/>
                    </w:rPr>
                    <m:t>T</m:t>
                  </m:r>
                  <m:ctrlPr>
                    <w:rPr>
                      <w:rFonts w:ascii="Cambria Math" w:hAnsi="Cambria Math" w:eastAsia="Malgun Gothic"/>
                      <w:i/>
                      <w:sz w:val="20"/>
                      <w:szCs w:val="20"/>
                      <w:lang w:eastAsia="ko-KR"/>
                    </w:rPr>
                  </m:ctrlPr>
                </m:e>
                <m:sub>
                  <m:r>
                    <w:rPr>
                      <w:rFonts w:ascii="Cambria Math" w:hAnsi="Cambria Math" w:eastAsia="Malgun Gothic"/>
                      <w:sz w:val="20"/>
                      <w:szCs w:val="20"/>
                      <w:lang w:eastAsia="ko-KR"/>
                    </w:rPr>
                    <m:t>0</m:t>
                  </m:r>
                  <m:ctrlPr>
                    <w:rPr>
                      <w:rFonts w:ascii="Cambria Math" w:hAnsi="Cambria Math" w:eastAsia="Malgun Gothic"/>
                      <w:i/>
                      <w:sz w:val="20"/>
                      <w:szCs w:val="20"/>
                      <w:lang w:eastAsia="ko-KR"/>
                    </w:rPr>
                  </m:ctrlPr>
                </m:sub>
              </m:sSub>
            </m:oMath>
            <w:r>
              <w:rPr>
                <w:rFonts w:eastAsia="Malgun Gothic"/>
                <w:sz w:val="20"/>
                <w:szCs w:val="20"/>
                <w:lang w:eastAsia="ko-KR"/>
              </w:rPr>
              <w:t xml:space="preserve"> is defined above and </w:t>
            </w:r>
            <m:oMath>
              <m:sSubSup>
                <m:sSubSupPr>
                  <m:ctrlPr>
                    <w:rPr>
                      <w:rFonts w:ascii="Cambria Math" w:hAnsi="Cambria Math" w:eastAsia="Malgun Gothic"/>
                      <w:i/>
                      <w:sz w:val="20"/>
                      <w:szCs w:val="20"/>
                      <w:lang w:val="de-DE" w:eastAsia="ko-KR"/>
                    </w:rPr>
                  </m:ctrlPr>
                </m:sSubSupPr>
                <m:e>
                  <m:r>
                    <w:rPr>
                      <w:rFonts w:ascii="Cambria Math" w:hAnsi="Cambria Math" w:eastAsia="Malgun Gothic"/>
                      <w:sz w:val="20"/>
                      <w:szCs w:val="20"/>
                      <w:lang w:val="de-DE" w:eastAsia="ko-KR"/>
                    </w:rPr>
                    <m:t>T</m:t>
                  </m:r>
                  <m:ctrlPr>
                    <w:rPr>
                      <w:rFonts w:ascii="Cambria Math" w:hAnsi="Cambria Math" w:eastAsia="Malgun Gothic"/>
                      <w:i/>
                      <w:sz w:val="20"/>
                      <w:szCs w:val="20"/>
                      <w:lang w:val="de-DE" w:eastAsia="ko-KR"/>
                    </w:rPr>
                  </m:ctrlPr>
                </m:e>
                <m:sub>
                  <m:r>
                    <w:rPr>
                      <w:rFonts w:ascii="Cambria Math" w:hAnsi="Cambria Math" w:eastAsia="Malgun Gothic"/>
                      <w:sz w:val="20"/>
                      <w:szCs w:val="20"/>
                      <w:lang w:val="de-DE" w:eastAsia="ko-KR"/>
                    </w:rPr>
                    <m:t>proc</m:t>
                  </m:r>
                  <m:r>
                    <m:rPr>
                      <m:sty m:val="p"/>
                    </m:rPr>
                    <w:rPr>
                      <w:rFonts w:ascii="Cambria Math" w:hAnsi="Cambria Math" w:eastAsia="Malgun Gothic"/>
                      <w:sz w:val="20"/>
                      <w:szCs w:val="20"/>
                      <w:lang w:eastAsia="ko-KR"/>
                    </w:rPr>
                    <m:t>,0</m:t>
                  </m:r>
                  <m:ctrlPr>
                    <w:rPr>
                      <w:rFonts w:ascii="Cambria Math" w:hAnsi="Cambria Math" w:eastAsia="Malgun Gothic"/>
                      <w:sz w:val="20"/>
                      <w:szCs w:val="20"/>
                      <w:lang w:eastAsia="ko-KR"/>
                    </w:rPr>
                  </m:ctrlPr>
                </m:sub>
                <m:sup>
                  <m:r>
                    <w:rPr>
                      <w:rFonts w:ascii="Cambria Math" w:hAnsi="Cambria Math" w:eastAsia="Malgun Gothic"/>
                      <w:sz w:val="20"/>
                      <w:szCs w:val="20"/>
                      <w:lang w:val="de-DE" w:eastAsia="ko-KR"/>
                    </w:rPr>
                    <m:t>SL</m:t>
                  </m:r>
                  <m:ctrlPr>
                    <w:rPr>
                      <w:rFonts w:ascii="Cambria Math" w:hAnsi="Cambria Math" w:eastAsia="Malgun Gothic"/>
                      <w:i/>
                      <w:sz w:val="20"/>
                      <w:szCs w:val="20"/>
                      <w:lang w:val="de-DE" w:eastAsia="ko-KR"/>
                    </w:rPr>
                  </m:ctrlPr>
                </m:sup>
              </m:sSubSup>
            </m:oMath>
            <w:r>
              <w:rPr>
                <w:rFonts w:eastAsia="Malgun Gothic"/>
                <w:sz w:val="20"/>
                <w:szCs w:val="20"/>
                <w:lang w:eastAsia="en-GB"/>
              </w:rPr>
              <w:t xml:space="preserve"> is defined in slots in Table 8.1.4-1 </w:t>
            </w:r>
            <w:r>
              <w:rPr>
                <w:rFonts w:eastAsiaTheme="minorEastAsia"/>
                <w:sz w:val="20"/>
                <w:szCs w:val="20"/>
              </w:rPr>
              <w:t xml:space="preserve">where </w:t>
            </w:r>
            <m:oMath>
              <m:sSub>
                <m:sSubPr>
                  <m:ctrlPr>
                    <w:rPr>
                      <w:rFonts w:ascii="Cambria Math" w:hAnsi="Cambria Math"/>
                      <w:i/>
                      <w:sz w:val="20"/>
                      <w:szCs w:val="20"/>
                    </w:rPr>
                  </m:ctrlPr>
                </m:sSubPr>
                <m:e>
                  <m:r>
                    <w:rPr>
                      <w:rFonts w:ascii="Cambria Math" w:hAnsi="Cambria Math"/>
                      <w:sz w:val="20"/>
                      <w:szCs w:val="20"/>
                    </w:rPr>
                    <m:t>μ</m:t>
                  </m:r>
                  <m:ctrlPr>
                    <w:rPr>
                      <w:rFonts w:ascii="Cambria Math" w:hAnsi="Cambria Math"/>
                      <w:i/>
                      <w:sz w:val="20"/>
                      <w:szCs w:val="20"/>
                    </w:rPr>
                  </m:ctrlPr>
                </m:e>
                <m:sub>
                  <m:r>
                    <w:rPr>
                      <w:rFonts w:ascii="Cambria Math" w:hAnsi="Cambria Math"/>
                      <w:sz w:val="20"/>
                      <w:szCs w:val="20"/>
                    </w:rPr>
                    <m:t>SL</m:t>
                  </m:r>
                  <m:ctrlPr>
                    <w:rPr>
                      <w:rFonts w:ascii="Cambria Math" w:hAnsi="Cambria Math"/>
                      <w:i/>
                      <w:sz w:val="20"/>
                      <w:szCs w:val="20"/>
                    </w:rPr>
                  </m:ctrlPr>
                </m:sub>
              </m:sSub>
            </m:oMath>
            <w:r>
              <w:rPr>
                <w:rFonts w:eastAsiaTheme="minorEastAsia"/>
                <w:sz w:val="20"/>
                <w:szCs w:val="20"/>
              </w:rPr>
              <w:t xml:space="preserve"> </w:t>
            </w:r>
            <w:r>
              <w:rPr>
                <w:sz w:val="20"/>
                <w:szCs w:val="20"/>
              </w:rPr>
              <w:t>is the SCS configuration of the SL BWP</w:t>
            </w:r>
            <w:r>
              <w:rPr>
                <w:rFonts w:eastAsia="Malgun Gothic"/>
                <w:sz w:val="20"/>
                <w:szCs w:val="20"/>
                <w:lang w:eastAsia="ko-KR"/>
              </w:rPr>
              <w:t xml:space="preserve">. The UE shall monitor slots </w:t>
            </w:r>
            <w:r>
              <w:rPr>
                <w:rFonts w:eastAsia="Malgun Gothic"/>
                <w:sz w:val="20"/>
                <w:szCs w:val="20"/>
                <w:highlight w:val="none"/>
                <w:lang w:eastAsia="ko-KR"/>
              </w:rPr>
              <w:t xml:space="preserve">which </w:t>
            </w:r>
            <w:r>
              <w:rPr>
                <w:rFonts w:eastAsia="Malgun Gothic"/>
                <w:strike/>
                <w:dstrike w:val="0"/>
                <w:color w:val="FF0000"/>
                <w:sz w:val="20"/>
                <w:szCs w:val="20"/>
                <w:highlight w:val="none"/>
                <w:lang w:eastAsia="ko-KR"/>
              </w:rPr>
              <w:t>can</w:t>
            </w:r>
            <w:r>
              <w:rPr>
                <w:rFonts w:eastAsia="Malgun Gothic"/>
                <w:sz w:val="20"/>
                <w:szCs w:val="20"/>
                <w:highlight w:val="none"/>
                <w:lang w:eastAsia="ko-KR"/>
              </w:rPr>
              <w:t xml:space="preserve"> belong to a sidelink resource pool </w:t>
            </w:r>
            <w:r>
              <w:rPr>
                <w:rFonts w:eastAsia="Malgun Gothic"/>
                <w:sz w:val="20"/>
                <w:szCs w:val="20"/>
                <w:lang w:eastAsia="ko-KR"/>
              </w:rPr>
              <w:t>within the sensing window except for those in which its own transmissions occur. The UE shall perform the behaviour in the following steps based on PSCCH decoded and RSRP measured in these slots.</w:t>
            </w:r>
          </w:p>
          <w:p>
            <w:pPr>
              <w:pStyle w:val="61"/>
              <w:widowControl w:val="0"/>
              <w:spacing w:before="120" w:after="120"/>
              <w:ind w:left="0" w:firstLine="0"/>
              <w:jc w:val="center"/>
              <w:rPr>
                <w:sz w:val="20"/>
              </w:rPr>
            </w:pPr>
            <w:r>
              <w:rPr>
                <w:b/>
                <w:iCs/>
                <w:color w:val="FF0000"/>
                <w:sz w:val="20"/>
              </w:rPr>
              <w:t>&lt;Unchanged parts are omitted&gt;</w:t>
            </w:r>
          </w:p>
        </w:tc>
      </w:tr>
    </w:tbl>
    <w:p>
      <w:pPr>
        <w:rPr>
          <w:rFonts w:eastAsia="宋体"/>
          <w:szCs w:val="22"/>
          <w:lang w:val="en-GB" w:eastAsia="en-US"/>
        </w:rPr>
      </w:pPr>
    </w:p>
    <w:p>
      <w:pPr>
        <w:pStyle w:val="3"/>
        <w:spacing w:before="120" w:after="120" w:line="259" w:lineRule="auto"/>
        <w:ind w:left="991" w:right="210" w:hanging="991" w:hangingChars="354"/>
        <w:rPr>
          <w:rFonts w:eastAsia="宋体"/>
          <w:szCs w:val="22"/>
          <w:lang w:val="en-GB" w:eastAsia="en-US"/>
        </w:rPr>
      </w:pPr>
      <w:r>
        <w:rPr>
          <w:rFonts w:hint="eastAsia" w:eastAsia="宋体"/>
          <w:szCs w:val="22"/>
        </w:rPr>
        <w:t>How to restrict selection of resources for different TBs to different slots</w:t>
      </w:r>
    </w:p>
    <w:p>
      <w:pPr>
        <w:spacing w:before="120" w:after="120"/>
        <w:rPr>
          <w:sz w:val="20"/>
        </w:rPr>
      </w:pPr>
      <w:r>
        <w:rPr>
          <w:rFonts w:hint="eastAsia"/>
          <w:sz w:val="20"/>
        </w:rPr>
        <w:t>In RAN1 #102-e meeting, it is discussed how to restrict selection of resources for different TBs to different slots. On this issue, there are the following two options.</w:t>
      </w:r>
    </w:p>
    <w:tbl>
      <w:tblPr>
        <w:tblStyle w:val="23"/>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sz w:val="20"/>
                <w:u w:val="single"/>
              </w:rPr>
            </w:pPr>
            <w:r>
              <w:rPr>
                <w:rFonts w:hint="eastAsia"/>
                <w:b/>
                <w:bCs/>
                <w:sz w:val="20"/>
                <w:u w:val="single"/>
              </w:rPr>
              <w:t>Option 1:</w:t>
            </w:r>
          </w:p>
          <w:p>
            <w:pPr>
              <w:pStyle w:val="43"/>
              <w:widowControl w:val="0"/>
              <w:numPr>
                <w:ilvl w:val="0"/>
                <w:numId w:val="13"/>
              </w:numPr>
              <w:spacing w:after="120"/>
              <w:rPr>
                <w:sz w:val="20"/>
                <w:szCs w:val="20"/>
                <w:highlight w:val="none"/>
              </w:rPr>
            </w:pPr>
            <w:r>
              <w:rPr>
                <w:rFonts w:hint="eastAsia"/>
                <w:sz w:val="20"/>
                <w:szCs w:val="20"/>
                <w:highlight w:val="none"/>
              </w:rPr>
              <w:t>When selecting or re-evaluating resources for a TB, MAC layer composes a list of slots which are unavailable for selection for this TB, since these resources are already pre-selected or reserved by other TB(s), and passes the list to L1</w:t>
            </w:r>
          </w:p>
          <w:p>
            <w:pPr>
              <w:pStyle w:val="43"/>
              <w:widowControl w:val="0"/>
              <w:numPr>
                <w:ilvl w:val="0"/>
                <w:numId w:val="13"/>
              </w:numPr>
              <w:spacing w:after="120"/>
              <w:rPr>
                <w:sz w:val="20"/>
                <w:szCs w:val="20"/>
              </w:rPr>
            </w:pPr>
            <w:r>
              <w:rPr>
                <w:rFonts w:hint="eastAsia"/>
                <w:sz w:val="20"/>
                <w:szCs w:val="20"/>
                <w:highlight w:val="none"/>
              </w:rPr>
              <w:t>L1 excludes these slots after or together with the exclusion of slots corresponding to the slots not monitored in the sensing window, i.e. du</w:t>
            </w:r>
            <w:r>
              <w:rPr>
                <w:rFonts w:hint="eastAsia"/>
                <w:sz w:val="20"/>
                <w:szCs w:val="20"/>
              </w:rPr>
              <w:t>ring or after step 5), but before step 6), and identifies the candidate set</w:t>
            </w:r>
          </w:p>
          <w:p>
            <w:pPr>
              <w:pStyle w:val="43"/>
              <w:widowControl w:val="0"/>
              <w:numPr>
                <w:ilvl w:val="0"/>
                <w:numId w:val="13"/>
              </w:numPr>
              <w:spacing w:after="120"/>
              <w:rPr>
                <w:sz w:val="20"/>
                <w:szCs w:val="20"/>
              </w:rPr>
            </w:pPr>
            <w:r>
              <w:rPr>
                <w:rFonts w:hint="eastAsia"/>
                <w:sz w:val="20"/>
                <w:szCs w:val="20"/>
              </w:rPr>
              <w:t>MAC layer &lt;randomly&gt; selects the resources following the specified restrictions on min and max time gap</w:t>
            </w:r>
          </w:p>
          <w:p>
            <w:pPr>
              <w:widowControl w:val="0"/>
              <w:spacing w:before="120" w:after="120"/>
              <w:rPr>
                <w:b/>
                <w:bCs/>
                <w:sz w:val="20"/>
                <w:u w:val="single"/>
              </w:rPr>
            </w:pPr>
            <w:r>
              <w:rPr>
                <w:rFonts w:hint="eastAsia"/>
                <w:b/>
                <w:bCs/>
                <w:sz w:val="20"/>
                <w:u w:val="single"/>
              </w:rPr>
              <w:t>Option 2</w:t>
            </w:r>
          </w:p>
          <w:p>
            <w:pPr>
              <w:pStyle w:val="43"/>
              <w:widowControl w:val="0"/>
              <w:numPr>
                <w:ilvl w:val="0"/>
                <w:numId w:val="13"/>
              </w:numPr>
              <w:spacing w:after="120"/>
              <w:rPr>
                <w:sz w:val="20"/>
                <w:szCs w:val="20"/>
              </w:rPr>
            </w:pPr>
            <w:r>
              <w:rPr>
                <w:rFonts w:hint="eastAsia"/>
                <w:sz w:val="20"/>
                <w:szCs w:val="20"/>
              </w:rPr>
              <w:t>When selecting or re-evaluating resources for a TB, MAC layer requests L1 to identify candidate resources</w:t>
            </w:r>
          </w:p>
          <w:p>
            <w:pPr>
              <w:pStyle w:val="43"/>
              <w:widowControl w:val="0"/>
              <w:numPr>
                <w:ilvl w:val="0"/>
                <w:numId w:val="13"/>
              </w:numPr>
              <w:spacing w:after="120"/>
              <w:rPr>
                <w:sz w:val="20"/>
                <w:szCs w:val="20"/>
              </w:rPr>
            </w:pPr>
            <w:r>
              <w:rPr>
                <w:rFonts w:hint="eastAsia"/>
                <w:sz w:val="20"/>
                <w:szCs w:val="20"/>
              </w:rPr>
              <w:t>L1 identifies candidate set according to specified procedures</w:t>
            </w:r>
          </w:p>
          <w:p>
            <w:pPr>
              <w:pStyle w:val="43"/>
              <w:widowControl w:val="0"/>
              <w:numPr>
                <w:ilvl w:val="0"/>
                <w:numId w:val="13"/>
              </w:numPr>
              <w:spacing w:after="120"/>
            </w:pPr>
            <w:r>
              <w:rPr>
                <w:rFonts w:hint="eastAsia"/>
                <w:sz w:val="20"/>
                <w:szCs w:val="20"/>
                <w:highlight w:val="none"/>
              </w:rPr>
              <w:t>MAC layer &lt;randomly&gt; selects the resources following the specified restrictions on min and max time gap, AND restrictions to select resources for different TBs in different slots</w:t>
            </w:r>
          </w:p>
        </w:tc>
      </w:tr>
    </w:tbl>
    <w:p>
      <w:pPr>
        <w:spacing w:before="120" w:after="120"/>
        <w:rPr>
          <w:sz w:val="20"/>
        </w:rPr>
      </w:pPr>
      <w:r>
        <w:rPr>
          <w:sz w:val="20"/>
          <w:highlight w:val="none"/>
        </w:rPr>
        <w:t xml:space="preserve">From the perspective of protocol complexity, </w:t>
      </w:r>
      <w:r>
        <w:rPr>
          <w:rFonts w:hint="eastAsia"/>
          <w:sz w:val="20"/>
        </w:rPr>
        <w:t>o</w:t>
      </w:r>
      <w:r>
        <w:rPr>
          <w:sz w:val="20"/>
        </w:rPr>
        <w:t>ption 1 has more protocol complexity.</w:t>
      </w:r>
      <w:r>
        <w:rPr>
          <w:rFonts w:hint="eastAsia"/>
          <w:sz w:val="20"/>
        </w:rPr>
        <w:t xml:space="preserve"> </w:t>
      </w:r>
      <w:r>
        <w:rPr>
          <w:sz w:val="20"/>
        </w:rPr>
        <w:t xml:space="preserve">Option 2 only needs to modify MAC layer protocol, while </w:t>
      </w:r>
      <w:r>
        <w:rPr>
          <w:rFonts w:hint="eastAsia"/>
          <w:sz w:val="20"/>
        </w:rPr>
        <w:t>o</w:t>
      </w:r>
      <w:r>
        <w:rPr>
          <w:sz w:val="20"/>
        </w:rPr>
        <w:t xml:space="preserve">ption 1 needs to modify </w:t>
      </w:r>
      <w:r>
        <w:rPr>
          <w:rFonts w:hint="eastAsia"/>
          <w:sz w:val="20"/>
        </w:rPr>
        <w:t xml:space="preserve">both </w:t>
      </w:r>
      <w:r>
        <w:rPr>
          <w:sz w:val="20"/>
        </w:rPr>
        <w:t>MAC layer and physical layer protocol.</w:t>
      </w:r>
    </w:p>
    <w:p>
      <w:pPr>
        <w:spacing w:before="120" w:after="120"/>
        <w:rPr>
          <w:rFonts w:hint="eastAsia"/>
          <w:color w:val="auto"/>
          <w:sz w:val="20"/>
          <w:highlight w:val="none"/>
          <w:u w:val="none"/>
          <w:lang w:val="en-US" w:eastAsia="zh-CN"/>
        </w:rPr>
      </w:pPr>
      <w:r>
        <w:rPr>
          <w:rFonts w:hint="eastAsia"/>
          <w:sz w:val="20"/>
        </w:rPr>
        <w:t>In o</w:t>
      </w:r>
      <w:r>
        <w:rPr>
          <w:sz w:val="20"/>
        </w:rPr>
        <w:t xml:space="preserve">ption </w:t>
      </w:r>
      <w:r>
        <w:rPr>
          <w:rFonts w:hint="eastAsia"/>
          <w:sz w:val="20"/>
        </w:rPr>
        <w:t xml:space="preserve">1, </w:t>
      </w:r>
      <w:r>
        <w:rPr>
          <w:rFonts w:hint="eastAsia"/>
          <w:color w:val="auto"/>
          <w:sz w:val="20"/>
          <w:szCs w:val="22"/>
          <w:u w:val="none"/>
          <w:lang w:val="en-US" w:eastAsia="zh-CN"/>
        </w:rPr>
        <w:t>w</w:t>
      </w:r>
      <w:r>
        <w:rPr>
          <w:rFonts w:hint="eastAsia"/>
          <w:color w:val="auto"/>
          <w:sz w:val="20"/>
          <w:u w:val="none"/>
          <w:lang w:eastAsia="zh-CN"/>
        </w:rPr>
        <w:t xml:space="preserve">hen </w:t>
      </w:r>
      <w:r>
        <w:rPr>
          <w:rFonts w:hint="eastAsia"/>
          <w:color w:val="auto"/>
          <w:sz w:val="20"/>
          <w:szCs w:val="20"/>
          <w:u w:val="none"/>
        </w:rPr>
        <w:t xml:space="preserve">selecting or re-evaluating resources </w:t>
      </w:r>
      <w:r>
        <w:rPr>
          <w:rFonts w:hint="eastAsia"/>
          <w:color w:val="auto"/>
          <w:sz w:val="20"/>
          <w:u w:val="none"/>
          <w:lang w:eastAsia="zh-CN"/>
        </w:rPr>
        <w:t>for more than</w:t>
      </w:r>
      <w:r>
        <w:rPr>
          <w:rFonts w:hint="eastAsia"/>
          <w:color w:val="auto"/>
          <w:sz w:val="20"/>
          <w:highlight w:val="none"/>
          <w:u w:val="none"/>
          <w:lang w:eastAsia="zh-CN"/>
        </w:rPr>
        <w:t xml:space="preserve"> one TB </w:t>
      </w:r>
      <w:r>
        <w:rPr>
          <w:rFonts w:hint="eastAsia"/>
          <w:color w:val="auto"/>
          <w:sz w:val="20"/>
          <w:highlight w:val="none"/>
          <w:u w:val="none"/>
          <w:lang w:val="en-US" w:eastAsia="zh-CN"/>
        </w:rPr>
        <w:t>in a very short time period, as shown in the figure 2-</w:t>
      </w:r>
      <w:r>
        <w:rPr>
          <w:rFonts w:hint="default"/>
          <w:color w:val="auto"/>
          <w:sz w:val="20"/>
          <w:highlight w:val="none"/>
          <w:u w:val="none"/>
          <w:lang w:val="en-US" w:eastAsia="zh-CN"/>
        </w:rPr>
        <w:t>1</w:t>
      </w:r>
      <w:r>
        <w:rPr>
          <w:rFonts w:hint="eastAsia"/>
          <w:color w:val="auto"/>
          <w:sz w:val="20"/>
          <w:highlight w:val="none"/>
          <w:u w:val="none"/>
          <w:lang w:eastAsia="zh-CN"/>
        </w:rPr>
        <w:t>,</w:t>
      </w:r>
      <w:r>
        <w:rPr>
          <w:rFonts w:hint="eastAsia"/>
          <w:color w:val="auto"/>
          <w:sz w:val="20"/>
          <w:highlight w:val="none"/>
          <w:u w:val="none"/>
          <w:lang w:val="en-US" w:eastAsia="zh-CN"/>
        </w:rPr>
        <w:t xml:space="preserve"> TB1 and TB2 coming from MAC layer to PHY layer in a very short time difference. Thus, the two sets as generated from two resource selection processes are also in a near time difference. In that case, MAC layer does not have enough time to generate unavailable resource set and send to PHY layer. In order to solve this issue in option 1, after PHY layer receiving one TB, it should wait for the unavailable resource set corresponding to that TB and then perform resource selection for the following TB. Thus more delay would be introduced. </w:t>
      </w:r>
    </w:p>
    <w:p>
      <w:pPr>
        <w:spacing w:before="120" w:after="120"/>
        <w:jc w:val="center"/>
        <w:rPr>
          <w:rFonts w:hint="default"/>
          <w:color w:val="auto"/>
          <w:sz w:val="20"/>
          <w:highlight w:val="none"/>
          <w:u w:val="none"/>
          <w:lang w:val="en-US" w:eastAsia="zh-CN"/>
        </w:rPr>
      </w:pPr>
      <w:r>
        <w:rPr>
          <w:rFonts w:hint="default"/>
          <w:color w:val="auto"/>
          <w:sz w:val="20"/>
          <w:highlight w:val="none"/>
          <w:u w:val="none"/>
          <w:lang w:val="en-US" w:eastAsia="zh-CN"/>
        </w:rPr>
        <w:drawing>
          <wp:inline distT="0" distB="0" distL="114300" distR="114300">
            <wp:extent cx="5019675" cy="1171575"/>
            <wp:effectExtent l="0" t="0" r="9525" b="0"/>
            <wp:docPr id="4" name="图片 4"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6"/>
                    <pic:cNvPicPr>
                      <a:picLocks noChangeAspect="1"/>
                    </pic:cNvPicPr>
                  </pic:nvPicPr>
                  <pic:blipFill>
                    <a:blip r:embed="rId14"/>
                    <a:stretch>
                      <a:fillRect/>
                    </a:stretch>
                  </pic:blipFill>
                  <pic:spPr>
                    <a:xfrm>
                      <a:off x="0" y="0"/>
                      <a:ext cx="5019675" cy="1171575"/>
                    </a:xfrm>
                    <a:prstGeom prst="rect">
                      <a:avLst/>
                    </a:prstGeom>
                  </pic:spPr>
                </pic:pic>
              </a:graphicData>
            </a:graphic>
          </wp:inline>
        </w:drawing>
      </w:r>
    </w:p>
    <w:p>
      <w:pPr>
        <w:spacing w:before="120" w:after="120"/>
        <w:jc w:val="center"/>
        <w:rPr>
          <w:rFonts w:hint="eastAsia"/>
          <w:lang w:val="en-US" w:eastAsia="zh-CN"/>
        </w:rPr>
      </w:pPr>
      <w:r>
        <w:rPr>
          <w:rFonts w:hint="eastAsia"/>
          <w:sz w:val="20"/>
        </w:rPr>
        <w:t xml:space="preserve">Figure </w:t>
      </w:r>
      <w:r>
        <w:rPr>
          <w:rFonts w:hint="eastAsia"/>
          <w:sz w:val="20"/>
          <w:lang w:val="en-US" w:eastAsia="zh-CN"/>
        </w:rPr>
        <w:t>2</w:t>
      </w:r>
      <w:r>
        <w:rPr>
          <w:rFonts w:hint="eastAsia"/>
          <w:sz w:val="20"/>
        </w:rPr>
        <w:t>-</w:t>
      </w:r>
      <w:r>
        <w:rPr>
          <w:rFonts w:hint="eastAsia"/>
          <w:sz w:val="20"/>
          <w:lang w:val="en-US" w:eastAsia="zh-CN"/>
        </w:rPr>
        <w:t>1</w:t>
      </w:r>
      <w:r>
        <w:rPr>
          <w:rFonts w:hint="eastAsia"/>
          <w:sz w:val="20"/>
        </w:rPr>
        <w:t xml:space="preserve"> </w:t>
      </w:r>
      <w:r>
        <w:rPr>
          <w:rFonts w:hint="eastAsia"/>
          <w:lang w:val="en-US" w:eastAsia="zh-CN"/>
        </w:rPr>
        <w:t>An example procedure of option 1</w:t>
      </w:r>
    </w:p>
    <w:p>
      <w:pPr>
        <w:pStyle w:val="36"/>
        <w:spacing w:before="120" w:after="120" w:line="260" w:lineRule="auto"/>
        <w:jc w:val="both"/>
        <w:rPr>
          <w:szCs w:val="22"/>
          <w:lang w:val="en-US" w:eastAsia="zh-CN"/>
        </w:rPr>
      </w:pPr>
      <w:bookmarkStart w:id="11" w:name="_Toc18920"/>
      <w:bookmarkStart w:id="12" w:name="_Toc17172"/>
      <w:r>
        <w:rPr>
          <w:rFonts w:hint="eastAsia"/>
          <w:szCs w:val="22"/>
          <w:lang w:val="en-US" w:eastAsia="zh-CN"/>
        </w:rPr>
        <w:t>MAC layer randomly selects the resources with the limitation of selecting resources for different TBs in different slots, i.e.，option 2 should be supported</w:t>
      </w:r>
      <w:bookmarkEnd w:id="11"/>
      <w:bookmarkEnd w:id="12"/>
      <w:r>
        <w:rPr>
          <w:rFonts w:hint="eastAsia"/>
          <w:szCs w:val="22"/>
          <w:lang w:val="en-US" w:eastAsia="zh-CN"/>
        </w:rPr>
        <w:t>.</w:t>
      </w:r>
    </w:p>
    <w:p>
      <w:pPr>
        <w:pStyle w:val="3"/>
        <w:spacing w:before="120" w:after="120" w:line="259" w:lineRule="auto"/>
        <w:ind w:left="991" w:right="210" w:hanging="991" w:hangingChars="354"/>
        <w:rPr>
          <w:rFonts w:eastAsia="宋体"/>
          <w:szCs w:val="22"/>
          <w:lang w:val="en-GB" w:eastAsia="en-US"/>
        </w:rPr>
      </w:pPr>
      <w:r>
        <w:rPr>
          <w:rFonts w:hint="eastAsia" w:eastAsia="宋体"/>
          <w:szCs w:val="22"/>
          <w:lang w:val="en-GB" w:eastAsia="en-US"/>
        </w:rPr>
        <w:t xml:space="preserve">Parallel </w:t>
      </w:r>
      <w:r>
        <w:rPr>
          <w:rFonts w:hint="eastAsia" w:eastAsia="宋体"/>
          <w:szCs w:val="22"/>
          <w:lang w:val="en-US" w:eastAsia="zh-CN"/>
        </w:rPr>
        <w:t xml:space="preserve">resource </w:t>
      </w:r>
      <w:r>
        <w:rPr>
          <w:rFonts w:hint="eastAsia" w:eastAsia="宋体"/>
          <w:szCs w:val="22"/>
          <w:lang w:val="en-GB" w:eastAsia="en-US"/>
        </w:rPr>
        <w:t>selection processes</w:t>
      </w:r>
    </w:p>
    <w:p>
      <w:pPr>
        <w:spacing w:before="120" w:after="120"/>
        <w:rPr>
          <w:rFonts w:hint="default"/>
          <w:color w:val="FF0000"/>
          <w:sz w:val="20"/>
          <w:szCs w:val="22"/>
          <w:u w:val="single"/>
          <w:lang w:val="en-US" w:eastAsia="zh-CN"/>
        </w:rPr>
      </w:pPr>
      <w:r>
        <w:rPr>
          <w:rFonts w:hint="eastAsia"/>
          <w:sz w:val="20"/>
        </w:rPr>
        <w:t>For p</w:t>
      </w:r>
      <w:r>
        <w:rPr>
          <w:rFonts w:hint="eastAsia"/>
          <w:sz w:val="20"/>
          <w:lang w:val="en-GB" w:eastAsia="en-US"/>
        </w:rPr>
        <w:t xml:space="preserve">arallel </w:t>
      </w:r>
      <w:r>
        <w:rPr>
          <w:sz w:val="20"/>
          <w:lang w:val="en-GB" w:eastAsia="en-US"/>
        </w:rPr>
        <w:t xml:space="preserve">resource </w:t>
      </w:r>
      <w:r>
        <w:rPr>
          <w:rFonts w:hint="eastAsia"/>
          <w:sz w:val="20"/>
          <w:lang w:val="en-GB" w:eastAsia="en-US"/>
        </w:rPr>
        <w:t>selection processes</w:t>
      </w:r>
      <w:r>
        <w:rPr>
          <w:rFonts w:hint="eastAsia"/>
          <w:sz w:val="20"/>
        </w:rPr>
        <w:t xml:space="preserve">, some companies suggested that </w:t>
      </w:r>
      <w:r>
        <w:rPr>
          <w:rFonts w:hint="eastAsia"/>
          <w:sz w:val="20"/>
          <w:lang w:val="en-GB" w:eastAsia="en-US"/>
        </w:rPr>
        <w:t>the maximum number of reserved resources due to parallel selections</w:t>
      </w:r>
      <w:r>
        <w:rPr>
          <w:rFonts w:hint="eastAsia"/>
          <w:sz w:val="20"/>
        </w:rPr>
        <w:t xml:space="preserve"> should be</w:t>
      </w:r>
      <w:r>
        <w:rPr>
          <w:rFonts w:hint="eastAsia"/>
          <w:sz w:val="20"/>
          <w:lang w:val="en-GB" w:eastAsia="en-US"/>
        </w:rPr>
        <w:t xml:space="preserve"> limit</w:t>
      </w:r>
      <w:r>
        <w:rPr>
          <w:rFonts w:hint="eastAsia"/>
          <w:sz w:val="20"/>
        </w:rPr>
        <w:t xml:space="preserve">ed. </w:t>
      </w:r>
      <w:r>
        <w:rPr>
          <w:rFonts w:hint="eastAsia"/>
          <w:sz w:val="20"/>
          <w:lang w:val="en-GB"/>
        </w:rPr>
        <w:t>In our opinion, there is no need to limit the number of reserved resources in the process of parallel resource selection</w:t>
      </w:r>
      <w:r>
        <w:rPr>
          <w:rFonts w:hint="eastAsia"/>
          <w:color w:val="auto"/>
          <w:sz w:val="20"/>
          <w:u w:val="none"/>
          <w:lang w:val="en-US" w:eastAsia="zh-CN"/>
        </w:rPr>
        <w:t xml:space="preserve"> through this additional mechanism</w:t>
      </w:r>
      <w:r>
        <w:rPr>
          <w:rFonts w:hint="eastAsia"/>
          <w:color w:val="auto"/>
          <w:sz w:val="20"/>
          <w:u w:val="none"/>
          <w:lang w:val="en-GB"/>
        </w:rPr>
        <w:t>.</w:t>
      </w:r>
      <w:r>
        <w:rPr>
          <w:rFonts w:hint="eastAsia"/>
          <w:color w:val="auto"/>
          <w:sz w:val="20"/>
          <w:u w:val="none"/>
        </w:rPr>
        <w:t xml:space="preserve"> </w:t>
      </w:r>
      <w:r>
        <w:rPr>
          <w:rFonts w:hint="eastAsia"/>
          <w:color w:val="auto"/>
          <w:sz w:val="20"/>
          <w:szCs w:val="22"/>
          <w:u w:val="none"/>
          <w:lang w:val="en-US" w:eastAsia="zh-CN"/>
        </w:rPr>
        <w:t>CR limit mechanism has considered the situation of multiple processes, and the number of resources reserved by a UE can be limited through the existing CR limit mechanism. Therefore, it is not necessary to introduce additional mechanisms to further limit the number of multiple processing resources.</w:t>
      </w:r>
    </w:p>
    <w:p>
      <w:pPr>
        <w:pStyle w:val="36"/>
        <w:spacing w:before="120" w:after="120" w:line="260" w:lineRule="auto"/>
        <w:jc w:val="both"/>
        <w:rPr>
          <w:rFonts w:hint="default"/>
          <w:color w:val="auto"/>
          <w:sz w:val="20"/>
          <w:szCs w:val="22"/>
          <w:u w:val="none"/>
          <w:lang w:val="en-US" w:eastAsia="zh-CN"/>
        </w:rPr>
      </w:pPr>
      <w:bookmarkStart w:id="13" w:name="_Toc1829"/>
      <w:bookmarkStart w:id="14" w:name="_Toc28987"/>
      <w:r>
        <w:rPr>
          <w:rFonts w:hint="eastAsia"/>
          <w:color w:val="auto"/>
          <w:sz w:val="20"/>
          <w:szCs w:val="22"/>
          <w:u w:val="none"/>
          <w:lang w:val="en-US" w:eastAsia="zh-CN"/>
        </w:rPr>
        <w:t>It is not necessary to introduce additional mechanisms to further limit the number of multiple processing resources.</w:t>
      </w:r>
      <w:bookmarkEnd w:id="13"/>
      <w:bookmarkEnd w:id="14"/>
    </w:p>
    <w:p>
      <w:pPr>
        <w:pStyle w:val="36"/>
        <w:numPr>
          <w:ilvl w:val="0"/>
          <w:numId w:val="0"/>
        </w:numPr>
        <w:spacing w:before="120" w:after="120"/>
        <w:rPr>
          <w:szCs w:val="22"/>
          <w:lang w:val="en-US" w:eastAsia="zh-CN"/>
        </w:rPr>
      </w:pPr>
    </w:p>
    <w:p>
      <w:pPr>
        <w:pStyle w:val="2"/>
        <w:spacing w:before="120" w:after="120"/>
        <w:ind w:left="0"/>
        <w:rPr>
          <w:rFonts w:eastAsia="宋体"/>
        </w:rPr>
      </w:pPr>
      <w:bookmarkStart w:id="15" w:name="_Toc30716"/>
      <w:bookmarkEnd w:id="15"/>
      <w:bookmarkStart w:id="16" w:name="_Toc19141"/>
      <w:bookmarkEnd w:id="16"/>
      <w:bookmarkStart w:id="17" w:name="_Toc8335"/>
      <w:bookmarkEnd w:id="17"/>
      <w:r>
        <w:rPr>
          <w:rFonts w:hint="eastAsia" w:eastAsia="宋体"/>
        </w:rPr>
        <w:t>Conclusion</w:t>
      </w:r>
    </w:p>
    <w:p>
      <w:pPr>
        <w:spacing w:before="120" w:after="120" w:line="259" w:lineRule="auto"/>
        <w:rPr>
          <w:sz w:val="20"/>
          <w:szCs w:val="22"/>
        </w:rPr>
      </w:pPr>
      <w:r>
        <w:rPr>
          <w:rFonts w:hint="eastAsia"/>
          <w:sz w:val="20"/>
          <w:szCs w:val="22"/>
        </w:rPr>
        <w:t>This contribution discussed related issues of mode 2 resource allocation. Based on this, we have the following proposals.</w:t>
      </w:r>
    </w:p>
    <w:p>
      <w:pPr>
        <w:pStyle w:val="17"/>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_Toc24542 </w:instrText>
      </w:r>
      <w:r>
        <w:fldChar w:fldCharType="separate"/>
      </w:r>
      <w:r>
        <w:rPr>
          <w:rFonts w:hint="default" w:ascii="Times New Roman" w:hAnsi="Times New Roman" w:eastAsia="宋体" w:cs="Times New Roman"/>
          <w:bCs/>
          <w:i/>
          <w:iCs/>
          <w:lang w:val="en-US" w:eastAsia="zh-CN"/>
        </w:rPr>
        <w:t xml:space="preserve">Proposal 1: </w:t>
      </w:r>
      <w:r>
        <w:rPr>
          <w:szCs w:val="22"/>
          <w:lang w:val="en-US" w:eastAsia="zh-CN"/>
        </w:rPr>
        <w:t xml:space="preserve">To adopt the following description in section </w:t>
      </w:r>
      <w:r>
        <w:rPr>
          <w:rFonts w:hint="eastAsia"/>
          <w:szCs w:val="22"/>
          <w:lang w:val="en-US" w:eastAsia="zh-CN"/>
        </w:rPr>
        <w:t>8.1</w:t>
      </w:r>
      <w:r>
        <w:rPr>
          <w:szCs w:val="22"/>
          <w:lang w:val="en-US" w:eastAsia="zh-CN"/>
        </w:rPr>
        <w:t xml:space="preserve">.4 in TS </w:t>
      </w:r>
      <w:r>
        <w:rPr>
          <w:rFonts w:hint="eastAsia"/>
          <w:szCs w:val="22"/>
          <w:lang w:val="en-US" w:eastAsia="zh-CN"/>
        </w:rPr>
        <w:t>38.214.</w:t>
      </w:r>
      <w:r>
        <w:fldChar w:fldCharType="end"/>
      </w:r>
    </w:p>
    <w:tbl>
      <w:tblPr>
        <w:tblStyle w:val="23"/>
        <w:tblpPr w:leftFromText="180" w:rightFromText="180" w:vertAnchor="text" w:horzAnchor="page" w:tblpX="1445" w:tblpY="211"/>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spacing w:after="120"/>
              <w:ind w:right="210"/>
              <w:outlineLvl w:val="2"/>
              <w:rPr>
                <w:color w:val="000000"/>
              </w:rPr>
            </w:pPr>
            <w:r>
              <w:rPr>
                <w:color w:val="000000"/>
              </w:rPr>
              <w:t>8.1.4</w:t>
            </w:r>
            <w:r>
              <w:rPr>
                <w:color w:val="000000"/>
              </w:rPr>
              <w:tab/>
            </w:r>
            <w:r>
              <w:rPr>
                <w:color w:val="000000"/>
              </w:rPr>
              <w:t>UE procedure for determining the subset of resources to be reported to higher layers in PSSCH resource selection in sidelink resource allocation mode 2</w:t>
            </w:r>
          </w:p>
          <w:p>
            <w:pPr>
              <w:widowControl w:val="0"/>
              <w:spacing w:before="120" w:after="120"/>
              <w:jc w:val="center"/>
              <w:rPr>
                <w:sz w:val="20"/>
              </w:rPr>
            </w:pPr>
            <w:r>
              <w:rPr>
                <w:b/>
                <w:iCs/>
                <w:color w:val="FF0000"/>
                <w:sz w:val="20"/>
              </w:rPr>
              <w:t>&lt;Unchanged parts are omitted&gt;</w:t>
            </w:r>
          </w:p>
          <w:p>
            <w:pPr>
              <w:pStyle w:val="51"/>
              <w:widowControl w:val="0"/>
              <w:spacing w:before="120" w:after="120"/>
              <w:rPr>
                <w:sz w:val="20"/>
                <w:highlight w:val="none"/>
              </w:rPr>
            </w:pPr>
            <w:r>
              <w:rPr>
                <w:sz w:val="20"/>
              </w:rPr>
              <w:t>-</w:t>
            </w:r>
            <w:r>
              <w:rPr>
                <w:sz w:val="20"/>
              </w:rPr>
              <w:tab/>
            </w:r>
            <w:r>
              <w:rPr>
                <w:sz w:val="20"/>
              </w:rPr>
              <w:t xml:space="preserve">if the higher layer requests </w:t>
            </w:r>
            <w:r>
              <w:rPr>
                <w:sz w:val="20"/>
                <w:lang w:eastAsia="en-GB"/>
              </w:rPr>
              <w:t>the UE to determine a subset of resources from which the higher layer will select resources for PSSCH/PSCCH transmission</w:t>
            </w:r>
            <w:r>
              <w:rPr>
                <w:sz w:val="20"/>
              </w:rPr>
              <w:t xml:space="preserve"> as part of re-evaluation or pre-emption procedure, the higher layer </w:t>
            </w:r>
            <w:r>
              <w:rPr>
                <w:sz w:val="20"/>
                <w:highlight w:val="none"/>
              </w:rPr>
              <w:t xml:space="preserve">provides a set of resources </w:t>
            </w:r>
            <m:oMath>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0</m:t>
                  </m:r>
                  <m:ctrlPr>
                    <w:rPr>
                      <w:rFonts w:ascii="Cambria Math" w:hAnsi="Cambria Math"/>
                      <w:i/>
                      <w:sz w:val="20"/>
                      <w:highlight w:val="none"/>
                    </w:rPr>
                  </m:ctrlPr>
                </m:sub>
              </m:sSub>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1</m:t>
                  </m:r>
                  <m:ctrlPr>
                    <w:rPr>
                      <w:rFonts w:ascii="Cambria Math" w:hAnsi="Cambria Math"/>
                      <w:i/>
                      <w:sz w:val="20"/>
                      <w:highlight w:val="none"/>
                    </w:rPr>
                  </m:ctrlPr>
                </m:sub>
              </m:sSub>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2</m:t>
                  </m:r>
                  <m:ctrlPr>
                    <w:rPr>
                      <w:rFonts w:ascii="Cambria Math" w:hAnsi="Cambria Math"/>
                      <w:i/>
                      <w:sz w:val="20"/>
                      <w:highlight w:val="none"/>
                    </w:rPr>
                  </m:ctrlPr>
                </m:sub>
              </m:sSub>
              <m:r>
                <w:rPr>
                  <w:rFonts w:ascii="Cambria Math" w:hAnsi="Cambria Math"/>
                  <w:sz w:val="20"/>
                  <w:highlight w:val="none"/>
                </w:rPr>
                <m:t xml:space="preserve">,…) </m:t>
              </m:r>
            </m:oMath>
            <w:r>
              <w:rPr>
                <w:sz w:val="20"/>
                <w:highlight w:val="none"/>
              </w:rPr>
              <w:t xml:space="preserve">which may be subject to re-evaluation </w:t>
            </w:r>
            <w:r>
              <w:rPr>
                <w:strike/>
                <w:color w:val="FF0000"/>
                <w:sz w:val="20"/>
                <w:highlight w:val="none"/>
              </w:rPr>
              <w:t>and</w:t>
            </w:r>
            <w:r>
              <w:rPr>
                <w:rFonts w:hint="eastAsia"/>
                <w:color w:val="FF0000"/>
                <w:sz w:val="20"/>
                <w:highlight w:val="none"/>
              </w:rPr>
              <w:t xml:space="preserve"> </w:t>
            </w:r>
            <w:r>
              <w:rPr>
                <w:rFonts w:hint="eastAsia"/>
                <w:color w:val="FF0000"/>
                <w:sz w:val="20"/>
                <w:highlight w:val="none"/>
                <w:u w:val="single"/>
              </w:rPr>
              <w:t>or</w:t>
            </w:r>
            <w:r>
              <w:rPr>
                <w:sz w:val="20"/>
                <w:highlight w:val="none"/>
              </w:rPr>
              <w:t xml:space="preserve"> a set of resources </w:t>
            </w:r>
            <m:oMath>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0</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1</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2</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 xml:space="preserve">,…) </m:t>
              </m:r>
            </m:oMath>
            <w:r>
              <w:rPr>
                <w:sz w:val="20"/>
                <w:highlight w:val="none"/>
              </w:rPr>
              <w:t>which may be subject to pre-emption.</w:t>
            </w:r>
          </w:p>
          <w:p>
            <w:pPr>
              <w:pStyle w:val="61"/>
              <w:widowControl w:val="0"/>
              <w:spacing w:before="120" w:after="120"/>
              <w:rPr>
                <w:iCs/>
                <w:sz w:val="20"/>
                <w:highlight w:val="none"/>
              </w:rPr>
            </w:pPr>
            <w:r>
              <w:rPr>
                <w:sz w:val="20"/>
                <w:highlight w:val="none"/>
              </w:rPr>
              <w:t>-</w:t>
            </w:r>
            <w:r>
              <w:rPr>
                <w:sz w:val="20"/>
                <w:highlight w:val="none"/>
              </w:rPr>
              <w:tab/>
            </w:r>
            <w:r>
              <w:rPr>
                <w:rFonts w:eastAsiaTheme="minorHAnsi"/>
                <w:sz w:val="20"/>
                <w:highlight w:val="none"/>
              </w:rPr>
              <w:t xml:space="preserve">it is up to UE implementation </w:t>
            </w:r>
            <w:r>
              <w:rPr>
                <w:sz w:val="20"/>
                <w:highlight w:val="none"/>
                <w:lang w:eastAsia="en-GB"/>
              </w:rPr>
              <w:t>to determine the subset of resources as requested by higher layers</w:t>
            </w:r>
            <w:r>
              <w:rPr>
                <w:sz w:val="20"/>
                <w:highlight w:val="none"/>
              </w:rPr>
              <w:t xml:space="preserve"> before or after the slot </w:t>
            </w:r>
            <m:oMath>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i</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oMath>
            <w:r>
              <w:rPr>
                <w:sz w:val="20"/>
                <w:highlight w:val="none"/>
              </w:rPr>
              <w:t xml:space="preserve"> - </w:t>
            </w:r>
            <m:oMath>
              <m:sSub>
                <m:sSubPr>
                  <m:ctrlPr>
                    <w:rPr>
                      <w:rFonts w:ascii="Cambria Math" w:hAnsi="Cambria Math"/>
                      <w:i/>
                      <w:sz w:val="20"/>
                      <w:highlight w:val="none"/>
                    </w:rPr>
                  </m:ctrlPr>
                </m:sSubPr>
                <m:e>
                  <m:r>
                    <w:rPr>
                      <w:rFonts w:ascii="Cambria Math" w:hAnsi="Cambria Math"/>
                      <w:sz w:val="20"/>
                      <w:highlight w:val="none"/>
                    </w:rPr>
                    <m:t>T</m:t>
                  </m:r>
                  <m:ctrlPr>
                    <w:rPr>
                      <w:rFonts w:ascii="Cambria Math" w:hAnsi="Cambria Math"/>
                      <w:i/>
                      <w:sz w:val="20"/>
                      <w:highlight w:val="none"/>
                    </w:rPr>
                  </m:ctrlPr>
                </m:e>
                <m:sub>
                  <m:r>
                    <w:rPr>
                      <w:rFonts w:ascii="Cambria Math" w:hAnsi="Cambria Math"/>
                      <w:sz w:val="20"/>
                      <w:highlight w:val="none"/>
                    </w:rPr>
                    <m:t>3</m:t>
                  </m:r>
                  <m:ctrlPr>
                    <w:rPr>
                      <w:rFonts w:ascii="Cambria Math" w:hAnsi="Cambria Math"/>
                      <w:i/>
                      <w:sz w:val="20"/>
                      <w:highlight w:val="none"/>
                    </w:rPr>
                  </m:ctrlPr>
                </m:sub>
              </m:sSub>
            </m:oMath>
            <w:r>
              <w:rPr>
                <w:sz w:val="20"/>
                <w:highlight w:val="none"/>
              </w:rPr>
              <w:t xml:space="preserve">, where </w:t>
            </w:r>
            <m:oMath>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i</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oMath>
            <w:r>
              <w:rPr>
                <w:sz w:val="20"/>
                <w:highlight w:val="none"/>
              </w:rPr>
              <w:t xml:space="preserve"> is the slot with the smallest slot index among </w:t>
            </w:r>
            <m:oMath>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0</m:t>
                  </m:r>
                  <m:ctrlPr>
                    <w:rPr>
                      <w:rFonts w:ascii="Cambria Math" w:hAnsi="Cambria Math"/>
                      <w:i/>
                      <w:sz w:val="20"/>
                      <w:highlight w:val="none"/>
                    </w:rPr>
                  </m:ctrlPr>
                </m:sub>
              </m:sSub>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1</m:t>
                  </m:r>
                  <m:ctrlPr>
                    <w:rPr>
                      <w:rFonts w:ascii="Cambria Math" w:hAnsi="Cambria Math"/>
                      <w:i/>
                      <w:sz w:val="20"/>
                      <w:highlight w:val="none"/>
                    </w:rPr>
                  </m:ctrlPr>
                </m:sub>
              </m:sSub>
              <m:r>
                <w:rPr>
                  <w:rFonts w:ascii="Cambria Math" w:hAnsi="Cambria Math"/>
                  <w:sz w:val="20"/>
                  <w:highlight w:val="none"/>
                </w:rPr>
                <m:t>,</m:t>
              </m:r>
              <m:sSub>
                <m:sSubPr>
                  <m:ctrlPr>
                    <w:rPr>
                      <w:rFonts w:ascii="Cambria Math" w:hAnsi="Cambria Math"/>
                      <w:i/>
                      <w:sz w:val="20"/>
                      <w:highlight w:val="none"/>
                    </w:rPr>
                  </m:ctrlPr>
                </m:sSub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2</m:t>
                  </m:r>
                  <m:ctrlPr>
                    <w:rPr>
                      <w:rFonts w:ascii="Cambria Math" w:hAnsi="Cambria Math"/>
                      <w:i/>
                      <w:sz w:val="20"/>
                      <w:highlight w:val="none"/>
                    </w:rPr>
                  </m:ctrlPr>
                </m:sub>
              </m:sSub>
              <m:r>
                <w:rPr>
                  <w:rFonts w:ascii="Cambria Math" w:hAnsi="Cambria Math"/>
                  <w:sz w:val="20"/>
                  <w:highlight w:val="none"/>
                </w:rPr>
                <m:t xml:space="preserve">,…) </m:t>
              </m:r>
            </m:oMath>
            <w:r>
              <w:rPr>
                <w:sz w:val="20"/>
                <w:highlight w:val="none"/>
              </w:rPr>
              <w:t xml:space="preserve">and </w:t>
            </w:r>
            <m:oMath>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0</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1</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m:t>
              </m:r>
              <m:sSubSup>
                <m:sSubSupPr>
                  <m:ctrlPr>
                    <w:rPr>
                      <w:rFonts w:ascii="Cambria Math" w:hAnsi="Cambria Math"/>
                      <w:i/>
                      <w:sz w:val="20"/>
                      <w:highlight w:val="none"/>
                    </w:rPr>
                  </m:ctrlPr>
                </m:sSubSupPr>
                <m:e>
                  <m:r>
                    <w:rPr>
                      <w:rFonts w:ascii="Cambria Math" w:hAnsi="Cambria Math"/>
                      <w:sz w:val="20"/>
                      <w:highlight w:val="none"/>
                    </w:rPr>
                    <m:t>r</m:t>
                  </m:r>
                  <m:ctrlPr>
                    <w:rPr>
                      <w:rFonts w:ascii="Cambria Math" w:hAnsi="Cambria Math"/>
                      <w:i/>
                      <w:sz w:val="20"/>
                      <w:highlight w:val="none"/>
                    </w:rPr>
                  </m:ctrlPr>
                </m:e>
                <m:sub>
                  <m:r>
                    <w:rPr>
                      <w:rFonts w:ascii="Cambria Math" w:hAnsi="Cambria Math"/>
                      <w:sz w:val="20"/>
                      <w:highlight w:val="none"/>
                    </w:rPr>
                    <m:t>2</m:t>
                  </m:r>
                  <m:ctrlPr>
                    <w:rPr>
                      <w:rFonts w:ascii="Cambria Math" w:hAnsi="Cambria Math"/>
                      <w:i/>
                      <w:sz w:val="20"/>
                      <w:highlight w:val="none"/>
                    </w:rPr>
                  </m:ctrlPr>
                </m:sub>
                <m:sup>
                  <m:r>
                    <w:rPr>
                      <w:rFonts w:ascii="Cambria Math" w:hAnsi="Cambria Math"/>
                      <w:sz w:val="20"/>
                      <w:highlight w:val="none"/>
                    </w:rPr>
                    <m:t>'</m:t>
                  </m:r>
                  <m:ctrlPr>
                    <w:rPr>
                      <w:rFonts w:ascii="Cambria Math" w:hAnsi="Cambria Math"/>
                      <w:i/>
                      <w:sz w:val="20"/>
                      <w:highlight w:val="none"/>
                    </w:rPr>
                  </m:ctrlPr>
                </m:sup>
              </m:sSubSup>
              <m:r>
                <w:rPr>
                  <w:rFonts w:ascii="Cambria Math" w:hAnsi="Cambria Math"/>
                  <w:sz w:val="20"/>
                  <w:highlight w:val="none"/>
                </w:rPr>
                <m:t xml:space="preserve">,…) </m:t>
              </m:r>
            </m:oMath>
            <w:r>
              <w:rPr>
                <w:sz w:val="20"/>
                <w:highlight w:val="none"/>
              </w:rPr>
              <w:t xml:space="preserve">, </w:t>
            </w:r>
            <w:r>
              <w:rPr>
                <w:color w:val="FF0000"/>
                <w:sz w:val="20"/>
                <w:highlight w:val="none"/>
                <w:u w:val="single"/>
              </w:rPr>
              <w:t>if any provided,</w:t>
            </w:r>
            <w:r>
              <w:rPr>
                <w:sz w:val="20"/>
                <w:highlight w:val="none"/>
              </w:rPr>
              <w:t xml:space="preserve"> and </w:t>
            </w:r>
            <m:oMath>
              <m:sSub>
                <m:sSubPr>
                  <m:ctrlPr>
                    <w:rPr>
                      <w:rFonts w:ascii="Cambria Math" w:hAnsi="Cambria Math"/>
                      <w:i/>
                      <w:sz w:val="20"/>
                      <w:highlight w:val="none"/>
                    </w:rPr>
                  </m:ctrlPr>
                </m:sSubPr>
                <m:e>
                  <m:r>
                    <w:rPr>
                      <w:rFonts w:ascii="Cambria Math" w:hAnsi="Cambria Math"/>
                      <w:sz w:val="20"/>
                      <w:highlight w:val="none"/>
                    </w:rPr>
                    <m:t>T</m:t>
                  </m:r>
                  <m:ctrlPr>
                    <w:rPr>
                      <w:rFonts w:ascii="Cambria Math" w:hAnsi="Cambria Math"/>
                      <w:i/>
                      <w:sz w:val="20"/>
                      <w:highlight w:val="none"/>
                    </w:rPr>
                  </m:ctrlPr>
                </m:e>
                <m:sub>
                  <m:r>
                    <w:rPr>
                      <w:rFonts w:ascii="Cambria Math" w:hAnsi="Cambria Math"/>
                      <w:sz w:val="20"/>
                      <w:highlight w:val="none"/>
                    </w:rPr>
                    <m:t>3</m:t>
                  </m:r>
                  <m:ctrlPr>
                    <w:rPr>
                      <w:rFonts w:ascii="Cambria Math" w:hAnsi="Cambria Math"/>
                      <w:i/>
                      <w:sz w:val="20"/>
                      <w:highlight w:val="none"/>
                    </w:rPr>
                  </m:ctrlPr>
                </m:sub>
              </m:sSub>
            </m:oMath>
            <w:r>
              <w:rPr>
                <w:sz w:val="20"/>
                <w:highlight w:val="none"/>
              </w:rPr>
              <w:t xml:space="preserve"> is equal to </w:t>
            </w:r>
            <m:oMath>
              <m:sSubSup>
                <m:sSubSupPr>
                  <m:ctrlPr>
                    <w:rPr>
                      <w:rFonts w:ascii="Cambria Math" w:hAnsi="Cambria Math"/>
                      <w:i/>
                      <w:sz w:val="20"/>
                      <w:highlight w:val="none"/>
                    </w:rPr>
                  </m:ctrlPr>
                </m:sSubSupPr>
                <m:e>
                  <m:r>
                    <w:rPr>
                      <w:rFonts w:ascii="Cambria Math" w:hAnsi="Cambria Math"/>
                      <w:sz w:val="20"/>
                      <w:highlight w:val="none"/>
                    </w:rPr>
                    <m:t>T</m:t>
                  </m:r>
                  <m:ctrlPr>
                    <w:rPr>
                      <w:rFonts w:ascii="Cambria Math" w:hAnsi="Cambria Math"/>
                      <w:i/>
                      <w:sz w:val="20"/>
                      <w:highlight w:val="none"/>
                    </w:rPr>
                  </m:ctrlPr>
                </m:e>
                <m:sub>
                  <m:r>
                    <w:rPr>
                      <w:rFonts w:ascii="Cambria Math" w:hAnsi="Cambria Math"/>
                      <w:sz w:val="20"/>
                      <w:highlight w:val="none"/>
                    </w:rPr>
                    <m:t>proc,1</m:t>
                  </m:r>
                  <m:ctrlPr>
                    <w:rPr>
                      <w:rFonts w:ascii="Cambria Math" w:hAnsi="Cambria Math"/>
                      <w:i/>
                      <w:sz w:val="20"/>
                      <w:highlight w:val="none"/>
                    </w:rPr>
                  </m:ctrlPr>
                </m:sub>
                <m:sup>
                  <m:r>
                    <w:rPr>
                      <w:rFonts w:ascii="Cambria Math" w:hAnsi="Cambria Math"/>
                      <w:sz w:val="20"/>
                      <w:highlight w:val="none"/>
                    </w:rPr>
                    <m:t>SL</m:t>
                  </m:r>
                  <m:ctrlPr>
                    <w:rPr>
                      <w:rFonts w:ascii="Cambria Math" w:hAnsi="Cambria Math"/>
                      <w:i/>
                      <w:sz w:val="20"/>
                      <w:highlight w:val="none"/>
                    </w:rPr>
                  </m:ctrlPr>
                </m:sup>
              </m:sSubSup>
            </m:oMath>
            <w:r>
              <w:rPr>
                <w:sz w:val="20"/>
                <w:highlight w:val="none"/>
              </w:rPr>
              <w:t xml:space="preserve">, </w:t>
            </w:r>
            <w:r>
              <w:rPr>
                <w:iCs/>
                <w:sz w:val="20"/>
                <w:highlight w:val="none"/>
              </w:rPr>
              <w:t>where</w:t>
            </w:r>
            <w:r>
              <w:rPr>
                <w:i/>
                <w:iCs/>
                <w:sz w:val="20"/>
                <w:highlight w:val="none"/>
              </w:rPr>
              <w:t xml:space="preserve"> </w:t>
            </w:r>
            <m:oMath>
              <m:sSubSup>
                <m:sSubSupPr>
                  <m:ctrlPr>
                    <w:rPr>
                      <w:rFonts w:ascii="Cambria Math" w:hAnsi="Cambria Math"/>
                      <w:i/>
                      <w:iCs/>
                      <w:sz w:val="20"/>
                      <w:highlight w:val="none"/>
                    </w:rPr>
                  </m:ctrlPr>
                </m:sSubSupPr>
                <m:e>
                  <m:r>
                    <w:rPr>
                      <w:rFonts w:ascii="Cambria Math" w:hAnsi="Cambria Math"/>
                      <w:sz w:val="20"/>
                      <w:highlight w:val="none"/>
                    </w:rPr>
                    <m:t>T</m:t>
                  </m:r>
                  <m:ctrlPr>
                    <w:rPr>
                      <w:rFonts w:ascii="Cambria Math" w:hAnsi="Cambria Math"/>
                      <w:i/>
                      <w:iCs/>
                      <w:sz w:val="20"/>
                      <w:highlight w:val="none"/>
                    </w:rPr>
                  </m:ctrlPr>
                </m:e>
                <m:sub>
                  <m:r>
                    <w:rPr>
                      <w:rFonts w:ascii="Cambria Math" w:hAnsi="Cambria Math"/>
                      <w:sz w:val="20"/>
                      <w:highlight w:val="none"/>
                    </w:rPr>
                    <m:t>proc,1</m:t>
                  </m:r>
                  <m:ctrlPr>
                    <w:rPr>
                      <w:rFonts w:ascii="Cambria Math" w:hAnsi="Cambria Math"/>
                      <w:i/>
                      <w:iCs/>
                      <w:sz w:val="20"/>
                      <w:highlight w:val="none"/>
                    </w:rPr>
                  </m:ctrlPr>
                </m:sub>
                <m:sup>
                  <m:r>
                    <w:rPr>
                      <w:rFonts w:ascii="Cambria Math" w:hAnsi="Cambria Math"/>
                      <w:sz w:val="20"/>
                      <w:highlight w:val="none"/>
                    </w:rPr>
                    <m:t>SL</m:t>
                  </m:r>
                  <m:ctrlPr>
                    <w:rPr>
                      <w:rFonts w:ascii="Cambria Math" w:hAnsi="Cambria Math"/>
                      <w:i/>
                      <w:iCs/>
                      <w:sz w:val="20"/>
                      <w:highlight w:val="none"/>
                    </w:rPr>
                  </m:ctrlPr>
                </m:sup>
              </m:sSubSup>
              <m:r>
                <w:rPr>
                  <w:rFonts w:ascii="Cambria Math" w:hAnsi="Cambria Math"/>
                  <w:sz w:val="20"/>
                  <w:highlight w:val="none"/>
                </w:rPr>
                <m:t xml:space="preserve"> </m:t>
              </m:r>
            </m:oMath>
            <w:r>
              <w:rPr>
                <w:i/>
                <w:iCs/>
                <w:sz w:val="20"/>
                <w:highlight w:val="none"/>
              </w:rPr>
              <w:t> </w:t>
            </w:r>
            <w:r>
              <w:rPr>
                <w:iCs/>
                <w:sz w:val="20"/>
                <w:highlight w:val="none"/>
              </w:rPr>
              <w:t>is defined in slots in Table 8.1.4-2 where</w:t>
            </w:r>
            <w:r>
              <w:rPr>
                <w:i/>
                <w:iCs/>
                <w:sz w:val="20"/>
                <w:highlight w:val="none"/>
              </w:rPr>
              <w:t xml:space="preserve"> </w:t>
            </w:r>
            <m:oMath>
              <m:sSub>
                <m:sSubPr>
                  <m:ctrlPr>
                    <w:rPr>
                      <w:rFonts w:ascii="Cambria Math" w:hAnsi="Cambria Math"/>
                      <w:i/>
                      <w:iCs/>
                      <w:sz w:val="20"/>
                      <w:highlight w:val="none"/>
                    </w:rPr>
                  </m:ctrlPr>
                </m:sSubPr>
                <m:e>
                  <m:r>
                    <w:rPr>
                      <w:rFonts w:ascii="Cambria Math" w:hAnsi="Cambria Math"/>
                      <w:sz w:val="20"/>
                      <w:highlight w:val="none"/>
                    </w:rPr>
                    <m:t>μ</m:t>
                  </m:r>
                  <m:ctrlPr>
                    <w:rPr>
                      <w:rFonts w:ascii="Cambria Math" w:hAnsi="Cambria Math"/>
                      <w:i/>
                      <w:iCs/>
                      <w:sz w:val="20"/>
                      <w:highlight w:val="none"/>
                    </w:rPr>
                  </m:ctrlPr>
                </m:e>
                <m:sub>
                  <m:r>
                    <w:rPr>
                      <w:rFonts w:ascii="Cambria Math" w:hAnsi="Cambria Math"/>
                      <w:sz w:val="20"/>
                      <w:highlight w:val="none"/>
                    </w:rPr>
                    <m:t>SL</m:t>
                  </m:r>
                  <m:ctrlPr>
                    <w:rPr>
                      <w:rFonts w:ascii="Cambria Math" w:hAnsi="Cambria Math"/>
                      <w:i/>
                      <w:iCs/>
                      <w:sz w:val="20"/>
                      <w:highlight w:val="none"/>
                    </w:rPr>
                  </m:ctrlPr>
                </m:sub>
              </m:sSub>
            </m:oMath>
            <w:r>
              <w:rPr>
                <w:i/>
                <w:iCs/>
                <w:sz w:val="20"/>
                <w:highlight w:val="none"/>
              </w:rPr>
              <w:t xml:space="preserve"> </w:t>
            </w:r>
            <w:r>
              <w:rPr>
                <w:iCs/>
                <w:sz w:val="20"/>
                <w:highlight w:val="none"/>
              </w:rPr>
              <w:t>is the SCS configuration of the SL BWP.</w:t>
            </w:r>
          </w:p>
          <w:p>
            <w:pPr>
              <w:pStyle w:val="61"/>
              <w:widowControl w:val="0"/>
              <w:spacing w:before="120" w:after="120"/>
              <w:ind w:left="0" w:firstLine="0"/>
              <w:jc w:val="center"/>
              <w:rPr>
                <w:sz w:val="20"/>
              </w:rPr>
            </w:pPr>
            <w:r>
              <w:rPr>
                <w:b/>
                <w:iCs/>
                <w:color w:val="FF0000"/>
                <w:sz w:val="20"/>
              </w:rPr>
              <w:t>&lt;Unchanged parts are omitted&gt;</w:t>
            </w:r>
          </w:p>
        </w:tc>
      </w:tr>
    </w:tbl>
    <w:p>
      <w:pPr>
        <w:pStyle w:val="17"/>
        <w:tabs>
          <w:tab w:val="right" w:leader="dot" w:pos="9660"/>
          <w:tab w:val="clear" w:pos="0"/>
        </w:tabs>
      </w:pPr>
      <w:r>
        <w:fldChar w:fldCharType="begin"/>
      </w:r>
      <w:r>
        <w:instrText xml:space="preserve"> HYPERLINK \l _Toc10502 </w:instrText>
      </w:r>
      <w:r>
        <w:fldChar w:fldCharType="separate"/>
      </w:r>
      <w:r>
        <w:rPr>
          <w:rFonts w:hint="default" w:ascii="Times New Roman" w:hAnsi="Times New Roman" w:eastAsia="宋体" w:cs="Times New Roman"/>
          <w:bCs/>
          <w:i/>
          <w:iCs/>
          <w:szCs w:val="22"/>
          <w:lang w:val="en-US" w:eastAsia="zh-CN"/>
        </w:rPr>
        <w:t xml:space="preserve">Proposal 2: </w:t>
      </w:r>
      <w:r>
        <w:rPr>
          <w:rFonts w:hint="eastAsia"/>
          <w:szCs w:val="22"/>
          <w:lang w:val="en-US" w:eastAsia="zh-CN"/>
        </w:rPr>
        <w:t>For periodic traffic, re-evaluation in other than the first period should be allowed.</w:t>
      </w:r>
      <w:r>
        <w:fldChar w:fldCharType="end"/>
      </w:r>
    </w:p>
    <w:p>
      <w:pPr>
        <w:pStyle w:val="17"/>
        <w:tabs>
          <w:tab w:val="right" w:leader="dot" w:pos="9660"/>
          <w:tab w:val="clear" w:pos="0"/>
        </w:tabs>
      </w:pPr>
      <w:r>
        <w:fldChar w:fldCharType="begin"/>
      </w:r>
      <w:r>
        <w:instrText xml:space="preserve"> HYPERLINK \l _Toc1490 </w:instrText>
      </w:r>
      <w:r>
        <w:fldChar w:fldCharType="separate"/>
      </w:r>
      <w:r>
        <w:rPr>
          <w:rFonts w:hint="default" w:ascii="Times New Roman" w:hAnsi="Times New Roman" w:eastAsia="宋体" w:cs="Times New Roman"/>
          <w:bCs/>
          <w:i/>
          <w:iCs/>
          <w:lang w:val="en-US" w:eastAsia="zh-CN"/>
        </w:rPr>
        <w:t xml:space="preserve">Proposal 3: </w:t>
      </w:r>
      <w:r>
        <w:rPr>
          <w:rFonts w:hint="eastAsia"/>
          <w:szCs w:val="22"/>
          <w:highlight w:val="none"/>
          <w:lang w:val="en-US" w:eastAsia="zh-CN"/>
        </w:rPr>
        <w:t xml:space="preserve">Step 5 is not performed in the </w:t>
      </w:r>
      <w:r>
        <w:rPr>
          <w:rFonts w:hint="eastAsia"/>
          <w:szCs w:val="22"/>
          <w:highlight w:val="none"/>
        </w:rPr>
        <w:t>re-evaluation</w:t>
      </w:r>
      <w:r>
        <w:rPr>
          <w:rFonts w:hint="eastAsia"/>
          <w:szCs w:val="22"/>
          <w:highlight w:val="none"/>
          <w:lang w:val="en-US" w:eastAsia="zh-CN"/>
        </w:rPr>
        <w:t>/pre-emption</w:t>
      </w:r>
      <w:r>
        <w:rPr>
          <w:rFonts w:hint="eastAsia"/>
          <w:szCs w:val="22"/>
          <w:highlight w:val="none"/>
        </w:rPr>
        <w:t xml:space="preserve"> procedure</w:t>
      </w:r>
      <w:r>
        <w:rPr>
          <w:rFonts w:hint="eastAsia"/>
          <w:szCs w:val="22"/>
          <w:highlight w:val="none"/>
          <w:lang w:val="en-US" w:eastAsia="zh-CN"/>
        </w:rPr>
        <w:t>.</w:t>
      </w:r>
      <w:r>
        <w:fldChar w:fldCharType="end"/>
      </w:r>
    </w:p>
    <w:p>
      <w:pPr>
        <w:pStyle w:val="17"/>
        <w:tabs>
          <w:tab w:val="right" w:leader="dot" w:pos="9660"/>
          <w:tab w:val="clear" w:pos="0"/>
        </w:tabs>
      </w:pPr>
      <w:r>
        <w:fldChar w:fldCharType="begin"/>
      </w:r>
      <w:r>
        <w:instrText xml:space="preserve"> HYPERLINK \l _Toc16847 </w:instrText>
      </w:r>
      <w:r>
        <w:fldChar w:fldCharType="separate"/>
      </w:r>
      <w:r>
        <w:rPr>
          <w:rFonts w:hint="default" w:ascii="Times New Roman" w:hAnsi="Times New Roman" w:eastAsia="宋体" w:cs="Times New Roman"/>
          <w:bCs/>
          <w:i/>
          <w:iCs/>
          <w:lang w:val="en-US" w:eastAsia="zh-CN"/>
        </w:rPr>
        <w:t xml:space="preserve">Proposal 4: </w:t>
      </w:r>
      <w:r>
        <w:rPr>
          <w:rFonts w:hint="eastAsia"/>
          <w:szCs w:val="22"/>
          <w:lang w:val="en-US" w:eastAsia="zh-CN"/>
        </w:rPr>
        <w:t>To adopt the foll</w:t>
      </w:r>
      <w:r>
        <w:rPr>
          <w:szCs w:val="22"/>
          <w:lang w:val="en-US" w:eastAsia="zh-CN"/>
        </w:rPr>
        <w:t>o</w:t>
      </w:r>
      <w:r>
        <w:rPr>
          <w:rFonts w:hint="eastAsia"/>
          <w:szCs w:val="22"/>
          <w:lang w:val="en-US" w:eastAsia="zh-CN"/>
        </w:rPr>
        <w:t xml:space="preserve">wing </w:t>
      </w:r>
      <w:r>
        <w:rPr>
          <w:szCs w:val="22"/>
          <w:lang w:val="en-US" w:eastAsia="zh-CN"/>
        </w:rPr>
        <w:t>TP for</w:t>
      </w:r>
      <w:r>
        <w:rPr>
          <w:rFonts w:hint="eastAsia"/>
          <w:szCs w:val="22"/>
          <w:lang w:val="en-US" w:eastAsia="zh-CN"/>
        </w:rPr>
        <w:t xml:space="preserve"> TS 38.213.</w:t>
      </w:r>
      <w:r>
        <w:fldChar w:fldCharType="end"/>
      </w:r>
    </w:p>
    <w:tbl>
      <w:tblPr>
        <w:tblStyle w:val="23"/>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widowControl w:val="0"/>
              <w:numPr>
                <w:ilvl w:val="1"/>
                <w:numId w:val="0"/>
              </w:numPr>
              <w:spacing w:before="120" w:after="120"/>
              <w:ind w:right="0" w:rightChars="0"/>
              <w:outlineLvl w:val="1"/>
              <w:rPr>
                <w:rFonts w:eastAsia="宋体"/>
                <w:sz w:val="32"/>
                <w:szCs w:val="22"/>
                <w:lang w:val="en-GB" w:eastAsia="en-US"/>
              </w:rPr>
            </w:pPr>
            <w:r>
              <w:rPr>
                <w:rFonts w:eastAsia="宋体"/>
                <w:sz w:val="32"/>
                <w:szCs w:val="22"/>
                <w:lang w:val="en-GB" w:eastAsia="en-US"/>
              </w:rPr>
              <w:t>16.4</w:t>
            </w:r>
            <w:r>
              <w:rPr>
                <w:rFonts w:hint="eastAsia" w:eastAsia="宋体"/>
                <w:sz w:val="32"/>
                <w:szCs w:val="22"/>
                <w:lang w:val="en-GB" w:eastAsia="en-US"/>
              </w:rPr>
              <w:tab/>
            </w:r>
            <w:r>
              <w:rPr>
                <w:rFonts w:eastAsia="宋体"/>
                <w:sz w:val="32"/>
                <w:szCs w:val="22"/>
                <w:lang w:val="en-GB" w:eastAsia="en-US"/>
              </w:rPr>
              <w:t xml:space="preserve">UE procedure for transmitting PSCCH </w:t>
            </w:r>
          </w:p>
          <w:p>
            <w:pPr>
              <w:widowControl w:val="0"/>
              <w:spacing w:before="120" w:after="120"/>
              <w:jc w:val="center"/>
              <w:rPr>
                <w:b/>
                <w:iCs/>
                <w:color w:val="FF0000"/>
                <w:sz w:val="20"/>
                <w:szCs w:val="22"/>
              </w:rPr>
            </w:pPr>
            <w:r>
              <w:rPr>
                <w:b/>
                <w:iCs/>
                <w:color w:val="FF0000"/>
                <w:sz w:val="20"/>
                <w:szCs w:val="22"/>
              </w:rPr>
              <w:t>&lt;Unchanged parts are omitted&gt;</w:t>
            </w:r>
          </w:p>
          <w:p>
            <w:pPr>
              <w:pStyle w:val="51"/>
              <w:widowControl w:val="0"/>
              <w:spacing w:before="120" w:after="120"/>
              <w:rPr>
                <w:sz w:val="20"/>
              </w:rPr>
            </w:pPr>
            <w:r>
              <w:rPr>
                <w:sz w:val="20"/>
                <w:lang w:eastAsia="ko-KR"/>
              </w:rPr>
              <w:t>-</w:t>
            </w:r>
            <w:r>
              <w:rPr>
                <w:sz w:val="20"/>
                <w:lang w:eastAsia="ko-KR"/>
              </w:rPr>
              <w:tab/>
            </w:r>
            <w:r>
              <w:rPr>
                <w:sz w:val="20"/>
              </w:rPr>
              <w:t xml:space="preserve">the values of the frequency resource assignment field and the time resource assignment field as described in [6, TS 38.214] to indicate </w:t>
            </w:r>
            <m:oMath>
              <m:r>
                <w:rPr>
                  <w:rFonts w:ascii="Cambria Math" w:hAnsi="Cambria Math" w:cs="Calibri" w:eastAsiaTheme="minorHAnsi"/>
                  <w:sz w:val="20"/>
                </w:rPr>
                <m:t>N</m:t>
              </m:r>
            </m:oMath>
            <w:r>
              <w:rPr>
                <w:sz w:val="20"/>
              </w:rPr>
              <w:t xml:space="preserve"> resources from a set</w:t>
            </w:r>
            <w:r>
              <w:rPr>
                <w:sz w:val="20"/>
                <w:highlight w:val="none"/>
              </w:rPr>
              <w:t xml:space="preserve"> </w:t>
            </w:r>
            <m:oMath>
              <m:d>
                <m:dPr>
                  <m:begChr m:val="{"/>
                  <m:endChr m:val="}"/>
                  <m:ctrlPr>
                    <w:rPr>
                      <w:rFonts w:ascii="Cambria Math" w:hAnsi="Cambria Math" w:cs="Calibri" w:eastAsiaTheme="minorHAnsi"/>
                      <w:i/>
                      <w:iCs/>
                      <w:sz w:val="20"/>
                      <w:highlight w:val="none"/>
                      <w:lang w:eastAsia="en-GB"/>
                    </w:rPr>
                  </m:ctrlPr>
                </m:dPr>
                <m:e>
                  <m:sSub>
                    <m:sSubPr>
                      <m:ctrlPr>
                        <w:rPr>
                          <w:rFonts w:ascii="Cambria Math" w:hAnsi="Cambria Math" w:cs="Calibri" w:eastAsiaTheme="minorHAnsi"/>
                          <w:i/>
                          <w:iCs/>
                          <w:sz w:val="20"/>
                          <w:highlight w:val="none"/>
                          <w:lang w:eastAsia="en-GB"/>
                        </w:rPr>
                      </m:ctrlPr>
                    </m:sSubPr>
                    <m:e>
                      <m:r>
                        <w:rPr>
                          <w:rFonts w:ascii="Cambria Math" w:hAnsi="Cambria Math"/>
                          <w:sz w:val="20"/>
                          <w:highlight w:val="none"/>
                          <w:lang w:eastAsia="en-GB"/>
                        </w:rPr>
                        <m:t>R</m:t>
                      </m:r>
                      <m:ctrlPr>
                        <w:rPr>
                          <w:rFonts w:ascii="Cambria Math" w:hAnsi="Cambria Math" w:cs="Calibri" w:eastAsiaTheme="minorHAnsi"/>
                          <w:i/>
                          <w:iCs/>
                          <w:sz w:val="20"/>
                          <w:highlight w:val="none"/>
                          <w:lang w:eastAsia="en-GB"/>
                        </w:rPr>
                      </m:ctrlPr>
                    </m:e>
                    <m:sub>
                      <m:r>
                        <m:rPr>
                          <m:nor/>
                          <m:sty m:val="p"/>
                        </m:rPr>
                        <w:rPr>
                          <w:rFonts w:ascii="Cambria Math" w:hAnsi="Cambria Math"/>
                          <w:b w:val="0"/>
                          <w:i w:val="0"/>
                          <w:sz w:val="20"/>
                          <w:highlight w:val="none"/>
                          <w:lang w:eastAsia="en-GB"/>
                        </w:rPr>
                        <m:t>y</m:t>
                      </m:r>
                      <m:ctrlPr>
                        <w:rPr>
                          <w:rFonts w:ascii="Cambria Math" w:hAnsi="Cambria Math" w:cs="Calibri" w:eastAsiaTheme="minorHAnsi"/>
                          <w:sz w:val="20"/>
                          <w:highlight w:val="none"/>
                          <w:lang w:eastAsia="en-GB"/>
                        </w:rPr>
                      </m:ctrlPr>
                    </m:sub>
                  </m:sSub>
                  <m:ctrlPr>
                    <w:rPr>
                      <w:rFonts w:ascii="Cambria Math" w:hAnsi="Cambria Math" w:cs="Calibri" w:eastAsiaTheme="minorHAnsi"/>
                      <w:i/>
                      <w:iCs/>
                      <w:sz w:val="20"/>
                      <w:highlight w:val="none"/>
                      <w:lang w:eastAsia="en-GB"/>
                    </w:rPr>
                  </m:ctrlPr>
                </m:e>
              </m:d>
            </m:oMath>
            <w:r>
              <w:rPr>
                <w:sz w:val="20"/>
                <w:highlight w:val="none"/>
              </w:rPr>
              <w:t xml:space="preserve"> of resources selected by higher layers as described in [11, TS 38.321] with </w:t>
            </w:r>
            <m:oMath>
              <m:r>
                <w:rPr>
                  <w:rFonts w:ascii="Cambria Math" w:hAnsi="Cambria Math" w:cs="Calibri" w:eastAsiaTheme="minorHAnsi"/>
                  <w:sz w:val="20"/>
                  <w:highlight w:val="none"/>
                </w:rPr>
                <m:t>N</m:t>
              </m:r>
            </m:oMath>
            <w:r>
              <w:rPr>
                <w:sz w:val="20"/>
                <w:highlight w:val="none"/>
              </w:rPr>
              <w:t xml:space="preserve"> smallest slot indices  </w:t>
            </w:r>
            <m:oMath>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i</m:t>
                  </m:r>
                  <m:ctrlPr>
                    <w:rPr>
                      <w:rFonts w:ascii="Cambria Math" w:hAnsi="Cambria Math"/>
                      <w:i/>
                      <w:iCs/>
                      <w:sz w:val="20"/>
                      <w:highlight w:val="none"/>
                    </w:rPr>
                  </m:ctrlPr>
                </m:sub>
              </m:sSub>
            </m:oMath>
            <w:r>
              <w:rPr>
                <w:sz w:val="20"/>
                <w:highlight w:val="none"/>
              </w:rPr>
              <w:t xml:space="preserve"> for </w:t>
            </w:r>
            <m:oMath>
              <m:r>
                <w:rPr>
                  <w:rFonts w:ascii="Cambria Math" w:hAnsi="Cambria Math"/>
                  <w:sz w:val="20"/>
                  <w:highlight w:val="none"/>
                </w:rPr>
                <m:t>0≤i≤N-1</m:t>
              </m:r>
            </m:oMath>
            <w:r>
              <w:rPr>
                <w:sz w:val="20"/>
                <w:highlight w:val="none"/>
              </w:rPr>
              <w:t xml:space="preserve"> such that </w:t>
            </w:r>
            <m:oMath>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0</m:t>
                  </m:r>
                  <m:ctrlPr>
                    <w:rPr>
                      <w:rFonts w:ascii="Cambria Math" w:hAnsi="Cambria Math"/>
                      <w:i/>
                      <w:iCs/>
                      <w:sz w:val="20"/>
                      <w:highlight w:val="none"/>
                    </w:rPr>
                  </m:ctrlPr>
                </m:sub>
              </m:sSub>
              <m:r>
                <w:rPr>
                  <w:rFonts w:ascii="Cambria Math" w:hAnsi="Cambria Math"/>
                  <w:sz w:val="20"/>
                  <w:highlight w:val="none"/>
                  <w:lang w:eastAsia="en-GB"/>
                </w:rPr>
                <m:t>&lt;</m:t>
              </m:r>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1</m:t>
                  </m:r>
                  <m:ctrlPr>
                    <w:rPr>
                      <w:rFonts w:ascii="Cambria Math" w:hAnsi="Cambria Math"/>
                      <w:i/>
                      <w:iCs/>
                      <w:sz w:val="20"/>
                      <w:highlight w:val="none"/>
                    </w:rPr>
                  </m:ctrlPr>
                </m:sub>
              </m:sSub>
              <m:r>
                <w:rPr>
                  <w:rFonts w:ascii="Cambria Math" w:hAnsi="Cambria Math"/>
                  <w:sz w:val="20"/>
                  <w:highlight w:val="none"/>
                  <w:lang w:eastAsia="en-GB"/>
                </w:rPr>
                <m:t>&lt;…&lt;</m:t>
              </m:r>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N-1</m:t>
                  </m:r>
                  <m:ctrlPr>
                    <w:rPr>
                      <w:rFonts w:ascii="Cambria Math" w:hAnsi="Cambria Math"/>
                      <w:i/>
                      <w:iCs/>
                      <w:sz w:val="20"/>
                      <w:highlight w:val="none"/>
                    </w:rPr>
                  </m:ctrlPr>
                </m:sub>
              </m:sSub>
              <m:r>
                <w:rPr>
                  <w:rFonts w:ascii="Cambria Math" w:hAnsi="Cambria Math"/>
                  <w:sz w:val="20"/>
                  <w:highlight w:val="none"/>
                  <w:lang w:eastAsia="en-GB"/>
                </w:rPr>
                <m:t>≤</m:t>
              </m:r>
              <m:sSub>
                <m:sSubPr>
                  <m:ctrlPr>
                    <w:rPr>
                      <w:rFonts w:ascii="Cambria Math" w:hAnsi="Cambria Math"/>
                      <w:i/>
                      <w:iCs/>
                      <w:sz w:val="20"/>
                      <w:highlight w:val="none"/>
                    </w:rPr>
                  </m:ctrlPr>
                </m:sSubPr>
                <m:e>
                  <m:r>
                    <w:rPr>
                      <w:rFonts w:ascii="Cambria Math" w:hAnsi="Cambria Math"/>
                      <w:sz w:val="20"/>
                      <w:highlight w:val="none"/>
                    </w:rPr>
                    <m:t>y</m:t>
                  </m:r>
                  <m:ctrlPr>
                    <w:rPr>
                      <w:rFonts w:ascii="Cambria Math" w:hAnsi="Cambria Math"/>
                      <w:i/>
                      <w:iCs/>
                      <w:sz w:val="20"/>
                      <w:highlight w:val="none"/>
                    </w:rPr>
                  </m:ctrlPr>
                </m:e>
                <m:sub>
                  <m:r>
                    <w:rPr>
                      <w:rFonts w:ascii="Cambria Math" w:hAnsi="Cambria Math"/>
                      <w:sz w:val="20"/>
                      <w:highlight w:val="none"/>
                    </w:rPr>
                    <m:t>0</m:t>
                  </m:r>
                  <m:ctrlPr>
                    <w:rPr>
                      <w:rFonts w:ascii="Cambria Math" w:hAnsi="Cambria Math"/>
                      <w:i/>
                      <w:iCs/>
                      <w:sz w:val="20"/>
                      <w:highlight w:val="none"/>
                    </w:rPr>
                  </m:ctrlPr>
                </m:sub>
              </m:sSub>
              <m:r>
                <w:rPr>
                  <w:rFonts w:ascii="Cambria Math" w:hAnsi="Cambria Math"/>
                  <w:sz w:val="20"/>
                  <w:highlight w:val="none"/>
                </w:rPr>
                <m:t>+31</m:t>
              </m:r>
            </m:oMath>
            <w:r>
              <w:rPr>
                <w:sz w:val="20"/>
                <w:highlight w:val="none"/>
              </w:rPr>
              <w:t xml:space="preserve">, </w:t>
            </w:r>
            <w:r>
              <w:rPr>
                <w:sz w:val="20"/>
              </w:rPr>
              <w:t>where:</w:t>
            </w:r>
          </w:p>
          <w:p>
            <w:pPr>
              <w:pStyle w:val="61"/>
              <w:widowControl w:val="0"/>
              <w:spacing w:before="120" w:after="120"/>
              <w:rPr>
                <w:sz w:val="20"/>
              </w:rPr>
            </w:pPr>
            <w:r>
              <w:rPr>
                <w:sz w:val="20"/>
              </w:rPr>
              <w:t>-</w:t>
            </w:r>
            <w:r>
              <w:rPr>
                <w:sz w:val="20"/>
              </w:rPr>
              <w:tab/>
            </w:r>
            <m:oMath>
              <m:r>
                <w:rPr>
                  <w:rFonts w:ascii="Cambria Math" w:hAnsi="Cambria Math" w:cs="Calibri" w:eastAsiaTheme="minorHAnsi"/>
                  <w:sz w:val="20"/>
                </w:rPr>
                <m:t>N=</m:t>
              </m:r>
              <m:r>
                <m:rPr>
                  <m:sty m:val="p"/>
                </m:rPr>
                <w:rPr>
                  <w:rFonts w:ascii="Cambria Math" w:hAnsi="Cambria Math" w:cs="Calibri" w:eastAsiaTheme="minorHAnsi"/>
                  <w:sz w:val="20"/>
                </w:rPr>
                <m:t>min</m:t>
              </m:r>
              <m:d>
                <m:dPr>
                  <m:ctrlPr>
                    <w:rPr>
                      <w:rFonts w:ascii="Cambria Math" w:hAnsi="Cambria Math" w:cs="Calibri" w:eastAsiaTheme="minorHAnsi"/>
                      <w:i/>
                      <w:iCs/>
                      <w:sz w:val="20"/>
                    </w:rPr>
                  </m:ctrlPr>
                </m:dPr>
                <m:e>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selected</m:t>
                      </m:r>
                      <m:ctrlPr>
                        <w:rPr>
                          <w:rFonts w:ascii="Cambria Math" w:hAnsi="Cambria Math"/>
                          <w:i/>
                          <w:iCs/>
                          <w:sz w:val="20"/>
                        </w:rPr>
                      </m:ctrlPr>
                    </m:sub>
                  </m:sSub>
                  <m:r>
                    <m:rPr>
                      <m:sty m:val="p"/>
                    </m:rPr>
                    <w:rPr>
                      <w:rFonts w:ascii="Cambria Math" w:hAnsi="Cambria Math"/>
                      <w:sz w:val="20"/>
                    </w:rPr>
                    <m:t xml:space="preserve">, </m:t>
                  </m:r>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max_reserve</m:t>
                      </m:r>
                      <m:ctrlPr>
                        <w:rPr>
                          <w:rFonts w:ascii="Cambria Math" w:hAnsi="Cambria Math"/>
                          <w:i/>
                          <w:iCs/>
                          <w:sz w:val="20"/>
                        </w:rPr>
                      </m:ctrlPr>
                    </m:sub>
                  </m:sSub>
                  <m:ctrlPr>
                    <w:rPr>
                      <w:rFonts w:ascii="Cambria Math" w:hAnsi="Cambria Math" w:cs="Calibri" w:eastAsiaTheme="minorHAnsi"/>
                      <w:i/>
                      <w:iCs/>
                      <w:sz w:val="20"/>
                    </w:rPr>
                  </m:ctrlPr>
                </m:e>
              </m:d>
            </m:oMath>
            <w:r>
              <w:rPr>
                <w:sz w:val="20"/>
              </w:rPr>
              <w:t xml:space="preserve">, where </w:t>
            </w:r>
            <m:oMath>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selected</m:t>
                  </m:r>
                  <m:ctrlPr>
                    <w:rPr>
                      <w:rFonts w:ascii="Cambria Math" w:hAnsi="Cambria Math"/>
                      <w:i/>
                      <w:iCs/>
                      <w:sz w:val="20"/>
                    </w:rPr>
                  </m:ctrlPr>
                </m:sub>
              </m:sSub>
            </m:oMath>
            <w:r>
              <w:rPr>
                <w:sz w:val="20"/>
              </w:rPr>
              <w:t xml:space="preserve"> is a number of resources in the set </w:t>
            </w:r>
            <m:oMath>
              <m:d>
                <m:dPr>
                  <m:begChr m:val="{"/>
                  <m:endChr m:val="}"/>
                  <m:ctrlPr>
                    <w:rPr>
                      <w:rFonts w:ascii="Cambria Math" w:hAnsi="Cambria Math" w:cs="Calibri" w:eastAsiaTheme="minorHAnsi"/>
                      <w:i/>
                      <w:iCs/>
                      <w:sz w:val="20"/>
                      <w:lang w:eastAsia="en-GB"/>
                    </w:rPr>
                  </m:ctrlPr>
                </m:dPr>
                <m:e>
                  <m:sSub>
                    <m:sSubPr>
                      <m:ctrlPr>
                        <w:rPr>
                          <w:rFonts w:ascii="Cambria Math" w:hAnsi="Cambria Math" w:cs="Calibri" w:eastAsiaTheme="minorHAnsi"/>
                          <w:i/>
                          <w:iCs/>
                          <w:sz w:val="20"/>
                          <w:lang w:eastAsia="en-GB"/>
                        </w:rPr>
                      </m:ctrlPr>
                    </m:sSubPr>
                    <m:e>
                      <m:r>
                        <w:rPr>
                          <w:rFonts w:ascii="Cambria Math" w:hAnsi="Cambria Math"/>
                          <w:sz w:val="20"/>
                          <w:lang w:eastAsia="en-GB"/>
                        </w:rPr>
                        <m:t>R</m:t>
                      </m:r>
                      <m:ctrlPr>
                        <w:rPr>
                          <w:rFonts w:ascii="Cambria Math" w:hAnsi="Cambria Math" w:cs="Calibri" w:eastAsiaTheme="minorHAnsi"/>
                          <w:i/>
                          <w:iCs/>
                          <w:sz w:val="20"/>
                          <w:lang w:eastAsia="en-GB"/>
                        </w:rPr>
                      </m:ctrlPr>
                    </m:e>
                    <m:sub>
                      <m:r>
                        <m:rPr>
                          <m:nor/>
                          <m:sty m:val="p"/>
                        </m:rPr>
                        <w:rPr>
                          <w:rFonts w:ascii="Cambria Math" w:hAnsi="Cambria Math"/>
                          <w:b w:val="0"/>
                          <w:i w:val="0"/>
                          <w:sz w:val="20"/>
                          <w:lang w:eastAsia="en-GB"/>
                        </w:rPr>
                        <m:t>y</m:t>
                      </m:r>
                      <m:ctrlPr>
                        <w:rPr>
                          <w:rFonts w:ascii="Cambria Math" w:hAnsi="Cambria Math" w:cs="Calibri" w:eastAsiaTheme="minorHAnsi"/>
                          <w:sz w:val="20"/>
                          <w:lang w:eastAsia="en-GB"/>
                        </w:rPr>
                      </m:ctrlPr>
                    </m:sub>
                  </m:sSub>
                  <m:ctrlPr>
                    <w:rPr>
                      <w:rFonts w:ascii="Cambria Math" w:hAnsi="Cambria Math" w:cs="Calibri" w:eastAsiaTheme="minorHAnsi"/>
                      <w:i/>
                      <w:iCs/>
                      <w:sz w:val="20"/>
                      <w:lang w:eastAsia="en-GB"/>
                    </w:rPr>
                  </m:ctrlPr>
                </m:e>
              </m:d>
            </m:oMath>
            <w:r>
              <w:rPr>
                <w:sz w:val="20"/>
              </w:rPr>
              <w:t xml:space="preserve"> with slot indices  </w:t>
            </w:r>
            <m:oMath>
              <m:sSub>
                <m:sSubPr>
                  <m:ctrlPr>
                    <w:rPr>
                      <w:rFonts w:ascii="Cambria Math" w:hAnsi="Cambria Math" w:cs="Calibri" w:eastAsiaTheme="minorHAnsi"/>
                      <w:i/>
                      <w:iCs/>
                      <w:sz w:val="20"/>
                    </w:rPr>
                  </m:ctrlPr>
                </m:sSubPr>
                <m:e>
                  <m:r>
                    <w:rPr>
                      <w:rFonts w:ascii="Cambria Math" w:hAnsi="Cambria Math"/>
                      <w:sz w:val="20"/>
                    </w:rPr>
                    <m:t>y</m:t>
                  </m:r>
                  <m:ctrlPr>
                    <w:rPr>
                      <w:rFonts w:ascii="Cambria Math" w:hAnsi="Cambria Math" w:cs="Calibri" w:eastAsiaTheme="minorHAnsi"/>
                      <w:i/>
                      <w:iCs/>
                      <w:sz w:val="20"/>
                    </w:rPr>
                  </m:ctrlPr>
                </m:e>
                <m:sub>
                  <m:r>
                    <w:rPr>
                      <w:rFonts w:ascii="Cambria Math" w:hAnsi="Cambria Math" w:cs="Calibri" w:eastAsiaTheme="minorHAnsi"/>
                      <w:sz w:val="20"/>
                    </w:rPr>
                    <m:t>j</m:t>
                  </m:r>
                  <m:ctrlPr>
                    <w:rPr>
                      <w:rFonts w:ascii="Cambria Math" w:hAnsi="Cambria Math" w:cs="Calibri" w:eastAsiaTheme="minorHAnsi"/>
                      <w:i/>
                      <w:iCs/>
                      <w:sz w:val="20"/>
                    </w:rPr>
                  </m:ctrlPr>
                </m:sub>
              </m:sSub>
            </m:oMath>
            <w:r>
              <w:rPr>
                <w:sz w:val="20"/>
              </w:rPr>
              <w:t xml:space="preserve">, </w:t>
            </w:r>
            <m:oMath>
              <m:r>
                <w:rPr>
                  <w:rFonts w:ascii="Cambria Math" w:hAnsi="Cambria Math"/>
                  <w:sz w:val="20"/>
                </w:rPr>
                <m:t>0≤j≤</m:t>
              </m:r>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selected</m:t>
                  </m:r>
                  <m:ctrlPr>
                    <w:rPr>
                      <w:rFonts w:ascii="Cambria Math" w:hAnsi="Cambria Math"/>
                      <w:i/>
                      <w:iCs/>
                      <w:sz w:val="20"/>
                    </w:rPr>
                  </m:ctrlPr>
                </m:sub>
              </m:sSub>
              <m:r>
                <w:rPr>
                  <w:rFonts w:ascii="Cambria Math" w:hAnsi="Cambria Math"/>
                  <w:sz w:val="20"/>
                </w:rPr>
                <m:t>-1</m:t>
              </m:r>
            </m:oMath>
            <w:r>
              <w:rPr>
                <w:sz w:val="20"/>
              </w:rPr>
              <w:t xml:space="preserve">, such that </w:t>
            </w:r>
            <m:oMath>
              <m:sSub>
                <m:sSubPr>
                  <m:ctrlPr>
                    <w:rPr>
                      <w:rFonts w:ascii="Cambria Math" w:hAnsi="Cambria Math"/>
                      <w:i/>
                      <w:iCs/>
                      <w:sz w:val="20"/>
                    </w:rPr>
                  </m:ctrlPr>
                </m:sSubPr>
                <m:e>
                  <m:r>
                    <w:rPr>
                      <w:rFonts w:ascii="Cambria Math" w:hAnsi="Cambria Math"/>
                      <w:sz w:val="20"/>
                    </w:rPr>
                    <m:t>y</m:t>
                  </m:r>
                  <m:ctrlPr>
                    <w:rPr>
                      <w:rFonts w:ascii="Cambria Math" w:hAnsi="Cambria Math"/>
                      <w:i/>
                      <w:iCs/>
                      <w:sz w:val="20"/>
                    </w:rPr>
                  </m:ctrlPr>
                </m:e>
                <m:sub>
                  <m:r>
                    <w:rPr>
                      <w:rFonts w:ascii="Cambria Math" w:hAnsi="Cambria Math"/>
                      <w:sz w:val="20"/>
                    </w:rPr>
                    <m:t>0</m:t>
                  </m:r>
                  <m:ctrlPr>
                    <w:rPr>
                      <w:rFonts w:ascii="Cambria Math" w:hAnsi="Cambria Math"/>
                      <w:i/>
                      <w:iCs/>
                      <w:sz w:val="20"/>
                    </w:rPr>
                  </m:ctrlPr>
                </m:sub>
              </m:sSub>
              <m:r>
                <w:rPr>
                  <w:rFonts w:ascii="Cambria Math" w:hAnsi="Cambria Math"/>
                  <w:sz w:val="20"/>
                  <w:lang w:eastAsia="en-GB"/>
                </w:rPr>
                <m:t>&lt;</m:t>
              </m:r>
              <m:sSub>
                <m:sSubPr>
                  <m:ctrlPr>
                    <w:rPr>
                      <w:rFonts w:ascii="Cambria Math" w:hAnsi="Cambria Math"/>
                      <w:i/>
                      <w:iCs/>
                      <w:sz w:val="20"/>
                    </w:rPr>
                  </m:ctrlPr>
                </m:sSubPr>
                <m:e>
                  <m:r>
                    <w:rPr>
                      <w:rFonts w:ascii="Cambria Math" w:hAnsi="Cambria Math"/>
                      <w:sz w:val="20"/>
                    </w:rPr>
                    <m:t>y</m:t>
                  </m:r>
                  <m:ctrlPr>
                    <w:rPr>
                      <w:rFonts w:ascii="Cambria Math" w:hAnsi="Cambria Math"/>
                      <w:i/>
                      <w:iCs/>
                      <w:sz w:val="20"/>
                    </w:rPr>
                  </m:ctrlPr>
                </m:e>
                <m:sub>
                  <m:r>
                    <w:rPr>
                      <w:rFonts w:ascii="Cambria Math" w:hAnsi="Cambria Math"/>
                      <w:sz w:val="20"/>
                    </w:rPr>
                    <m:t>1</m:t>
                  </m:r>
                  <m:ctrlPr>
                    <w:rPr>
                      <w:rFonts w:ascii="Cambria Math" w:hAnsi="Cambria Math"/>
                      <w:i/>
                      <w:iCs/>
                      <w:sz w:val="20"/>
                    </w:rPr>
                  </m:ctrlPr>
                </m:sub>
              </m:sSub>
              <m:r>
                <w:rPr>
                  <w:rFonts w:ascii="Cambria Math" w:hAnsi="Cambria Math"/>
                  <w:sz w:val="20"/>
                  <w:lang w:eastAsia="en-GB"/>
                </w:rPr>
                <m:t>&lt;…&lt;</m:t>
              </m:r>
              <m:sSub>
                <m:sSubPr>
                  <m:ctrlPr>
                    <w:rPr>
                      <w:rFonts w:ascii="Cambria Math" w:hAnsi="Cambria Math"/>
                      <w:i/>
                      <w:iCs/>
                      <w:sz w:val="20"/>
                    </w:rPr>
                  </m:ctrlPr>
                </m:sSubPr>
                <m:e>
                  <m:r>
                    <w:rPr>
                      <w:rFonts w:ascii="Cambria Math" w:hAnsi="Cambria Math"/>
                      <w:sz w:val="20"/>
                    </w:rPr>
                    <m:t>y</m:t>
                  </m:r>
                  <m:ctrlPr>
                    <w:rPr>
                      <w:rFonts w:ascii="Cambria Math" w:hAnsi="Cambria Math"/>
                      <w:i/>
                      <w:iCs/>
                      <w:sz w:val="20"/>
                    </w:rPr>
                  </m:ctrlPr>
                </m:e>
                <m:sub>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selected</m:t>
                      </m:r>
                      <m:ctrlPr>
                        <w:rPr>
                          <w:rFonts w:ascii="Cambria Math" w:hAnsi="Cambria Math"/>
                          <w:i/>
                          <w:iCs/>
                          <w:sz w:val="20"/>
                        </w:rPr>
                      </m:ctrlPr>
                    </m:sub>
                  </m:sSub>
                  <m:r>
                    <w:rPr>
                      <w:rFonts w:ascii="Cambria Math" w:hAnsi="Cambria Math"/>
                      <w:sz w:val="20"/>
                    </w:rPr>
                    <m:t>-1</m:t>
                  </m:r>
                  <m:ctrlPr>
                    <w:rPr>
                      <w:rFonts w:ascii="Cambria Math" w:hAnsi="Cambria Math"/>
                      <w:i/>
                      <w:iCs/>
                      <w:sz w:val="20"/>
                    </w:rPr>
                  </m:ctrlPr>
                </m:sub>
              </m:sSub>
              <m:r>
                <w:rPr>
                  <w:rFonts w:ascii="Cambria Math" w:hAnsi="Cambria Math"/>
                  <w:sz w:val="20"/>
                  <w:lang w:eastAsia="en-GB"/>
                </w:rPr>
                <m:t>≤</m:t>
              </m:r>
              <m:sSub>
                <m:sSubPr>
                  <m:ctrlPr>
                    <w:rPr>
                      <w:rFonts w:ascii="Cambria Math" w:hAnsi="Cambria Math"/>
                      <w:i/>
                      <w:iCs/>
                      <w:sz w:val="20"/>
                    </w:rPr>
                  </m:ctrlPr>
                </m:sSubPr>
                <m:e>
                  <m:r>
                    <w:rPr>
                      <w:rFonts w:ascii="Cambria Math" w:hAnsi="Cambria Math"/>
                      <w:sz w:val="20"/>
                    </w:rPr>
                    <m:t>y</m:t>
                  </m:r>
                  <m:ctrlPr>
                    <w:rPr>
                      <w:rFonts w:ascii="Cambria Math" w:hAnsi="Cambria Math"/>
                      <w:i/>
                      <w:iCs/>
                      <w:sz w:val="20"/>
                    </w:rPr>
                  </m:ctrlPr>
                </m:e>
                <m:sub>
                  <m:r>
                    <w:rPr>
                      <w:rFonts w:ascii="Cambria Math" w:hAnsi="Cambria Math"/>
                      <w:sz w:val="20"/>
                    </w:rPr>
                    <m:t>0</m:t>
                  </m:r>
                  <m:ctrlPr>
                    <w:rPr>
                      <w:rFonts w:ascii="Cambria Math" w:hAnsi="Cambria Math"/>
                      <w:i/>
                      <w:iCs/>
                      <w:sz w:val="20"/>
                    </w:rPr>
                  </m:ctrlPr>
                </m:sub>
              </m:sSub>
              <m:r>
                <w:rPr>
                  <w:rFonts w:ascii="Cambria Math" w:hAnsi="Cambria Math"/>
                  <w:sz w:val="20"/>
                </w:rPr>
                <m:t>+31</m:t>
              </m:r>
            </m:oMath>
            <w:r>
              <w:rPr>
                <w:sz w:val="20"/>
              </w:rPr>
              <w:t xml:space="preserve">, and </w:t>
            </w:r>
            <m:oMath>
              <m:sSub>
                <m:sSubPr>
                  <m:ctrlPr>
                    <w:rPr>
                      <w:rFonts w:ascii="Cambria Math" w:hAnsi="Cambria Math"/>
                      <w:i/>
                      <w:iCs/>
                      <w:sz w:val="20"/>
                    </w:rPr>
                  </m:ctrlPr>
                </m:sSubPr>
                <m:e>
                  <m:r>
                    <w:rPr>
                      <w:rFonts w:ascii="Cambria Math" w:hAnsi="Cambria Math"/>
                      <w:sz w:val="20"/>
                    </w:rPr>
                    <m:t>N</m:t>
                  </m:r>
                  <m:ctrlPr>
                    <w:rPr>
                      <w:rFonts w:ascii="Cambria Math" w:hAnsi="Cambria Math"/>
                      <w:i/>
                      <w:iCs/>
                      <w:sz w:val="20"/>
                    </w:rPr>
                  </m:ctrlPr>
                </m:e>
                <m:sub>
                  <m:r>
                    <m:rPr>
                      <m:sty m:val="p"/>
                    </m:rPr>
                    <w:rPr>
                      <w:rFonts w:ascii="Cambria Math" w:hAnsi="Cambria Math"/>
                      <w:sz w:val="20"/>
                    </w:rPr>
                    <m:t>max_reserve</m:t>
                  </m:r>
                  <m:ctrlPr>
                    <w:rPr>
                      <w:rFonts w:ascii="Cambria Math" w:hAnsi="Cambria Math"/>
                      <w:i/>
                      <w:iCs/>
                      <w:sz w:val="20"/>
                    </w:rPr>
                  </m:ctrlPr>
                </m:sub>
              </m:sSub>
            </m:oMath>
            <w:r>
              <w:rPr>
                <w:iCs/>
                <w:sz w:val="20"/>
              </w:rPr>
              <w:t xml:space="preserve"> is provided by </w:t>
            </w:r>
            <w:r>
              <w:rPr>
                <w:i/>
                <w:iCs/>
                <w:sz w:val="20"/>
              </w:rPr>
              <w:t>sl-MaxNumPerReserve</w:t>
            </w:r>
          </w:p>
          <w:p>
            <w:pPr>
              <w:pStyle w:val="61"/>
              <w:widowControl w:val="0"/>
              <w:spacing w:before="120" w:after="120"/>
              <w:rPr>
                <w:sz w:val="20"/>
              </w:rPr>
            </w:pPr>
            <w:r>
              <w:rPr>
                <w:iCs/>
                <w:sz w:val="20"/>
                <w:lang w:eastAsia="en-GB"/>
              </w:rPr>
              <w:t>-</w:t>
            </w:r>
            <w:r>
              <w:rPr>
                <w:iCs/>
                <w:sz w:val="20"/>
                <w:lang w:eastAsia="en-GB"/>
              </w:rPr>
              <w:tab/>
            </w:r>
            <w:r>
              <w:rPr>
                <w:sz w:val="20"/>
              </w:rPr>
              <w:t>each</w:t>
            </w:r>
            <w:r>
              <w:rPr>
                <w:sz w:val="20"/>
                <w:lang w:eastAsia="ko-KR"/>
              </w:rPr>
              <w:t xml:space="preserve"> resource, from the set of </w:t>
            </w:r>
            <m:oMath>
              <m:d>
                <m:dPr>
                  <m:begChr m:val="{"/>
                  <m:endChr m:val="}"/>
                  <m:ctrlPr>
                    <w:rPr>
                      <w:rFonts w:ascii="Cambria Math" w:hAnsi="Cambria Math" w:eastAsiaTheme="minorHAnsi"/>
                      <w:i/>
                      <w:iCs/>
                      <w:sz w:val="20"/>
                      <w:lang w:eastAsia="en-GB"/>
                    </w:rPr>
                  </m:ctrlPr>
                </m:dPr>
                <m:e>
                  <m:sSub>
                    <m:sSubPr>
                      <m:ctrlPr>
                        <w:rPr>
                          <w:rFonts w:ascii="Cambria Math" w:hAnsi="Cambria Math" w:eastAsiaTheme="minorHAnsi"/>
                          <w:i/>
                          <w:iCs/>
                          <w:sz w:val="20"/>
                          <w:lang w:eastAsia="en-GB"/>
                        </w:rPr>
                      </m:ctrlPr>
                    </m:sSubPr>
                    <m:e>
                      <m:r>
                        <w:rPr>
                          <w:rFonts w:ascii="Cambria Math" w:hAnsi="Cambria Math"/>
                          <w:sz w:val="20"/>
                          <w:lang w:eastAsia="en-GB"/>
                        </w:rPr>
                        <m:t>R</m:t>
                      </m:r>
                      <m:ctrlPr>
                        <w:rPr>
                          <w:rFonts w:ascii="Cambria Math" w:hAnsi="Cambria Math" w:eastAsiaTheme="minorHAnsi"/>
                          <w:i/>
                          <w:iCs/>
                          <w:sz w:val="20"/>
                          <w:lang w:eastAsia="en-GB"/>
                        </w:rPr>
                      </m:ctrlPr>
                    </m:e>
                    <m:sub>
                      <m:r>
                        <m:rPr>
                          <m:nor/>
                          <m:sty m:val="p"/>
                        </m:rPr>
                        <w:rPr>
                          <w:b w:val="0"/>
                          <w:i w:val="0"/>
                          <w:sz w:val="20"/>
                          <w:lang w:eastAsia="en-GB"/>
                        </w:rPr>
                        <m:t>y</m:t>
                      </m:r>
                      <m:ctrlPr>
                        <w:rPr>
                          <w:rFonts w:ascii="Cambria Math" w:hAnsi="Cambria Math" w:eastAsiaTheme="minorHAnsi"/>
                          <w:sz w:val="20"/>
                          <w:lang w:eastAsia="en-GB"/>
                        </w:rPr>
                      </m:ctrlPr>
                    </m:sub>
                  </m:sSub>
                  <m:ctrlPr>
                    <w:rPr>
                      <w:rFonts w:ascii="Cambria Math" w:hAnsi="Cambria Math" w:eastAsiaTheme="minorHAnsi"/>
                      <w:i/>
                      <w:iCs/>
                      <w:sz w:val="20"/>
                      <w:lang w:eastAsia="en-GB"/>
                    </w:rPr>
                  </m:ctrlPr>
                </m:e>
              </m:d>
            </m:oMath>
            <w:r>
              <w:rPr>
                <w:iCs/>
                <w:sz w:val="20"/>
                <w:lang w:eastAsia="en-GB"/>
              </w:rPr>
              <w:t xml:space="preserve"> resources, </w:t>
            </w:r>
            <w:r>
              <w:rPr>
                <w:sz w:val="20"/>
                <w:lang w:eastAsia="ko-KR"/>
              </w:rPr>
              <w:t xml:space="preserve">corresponds to </w:t>
            </w:r>
            <m:oMath>
              <m:sSub>
                <m:sSubPr>
                  <m:ctrlPr>
                    <w:rPr>
                      <w:rFonts w:ascii="Cambria Math" w:hAnsi="Cambria Math" w:eastAsiaTheme="minorHAnsi"/>
                      <w:i/>
                      <w:iCs/>
                      <w:sz w:val="20"/>
                      <w:lang w:eastAsia="en-GB"/>
                    </w:rPr>
                  </m:ctrlPr>
                </m:sSubPr>
                <m:e>
                  <m:r>
                    <w:rPr>
                      <w:rFonts w:ascii="Cambria Math" w:hAnsi="Cambria Math"/>
                      <w:sz w:val="20"/>
                      <w:lang w:eastAsia="en-GB"/>
                    </w:rPr>
                    <m:t>L</m:t>
                  </m:r>
                  <m:ctrlPr>
                    <w:rPr>
                      <w:rFonts w:ascii="Cambria Math" w:hAnsi="Cambria Math" w:eastAsiaTheme="minorHAnsi"/>
                      <w:i/>
                      <w:iCs/>
                      <w:sz w:val="20"/>
                      <w:lang w:eastAsia="en-GB"/>
                    </w:rPr>
                  </m:ctrlPr>
                </m:e>
                <m:sub>
                  <m:r>
                    <m:rPr>
                      <m:nor/>
                      <m:sty m:val="p"/>
                    </m:rPr>
                    <w:rPr>
                      <w:b w:val="0"/>
                      <w:i w:val="0"/>
                      <w:sz w:val="20"/>
                      <w:lang w:eastAsia="en-GB"/>
                    </w:rPr>
                    <m:t>subCH</m:t>
                  </m:r>
                  <m:ctrlPr>
                    <w:rPr>
                      <w:rFonts w:ascii="Cambria Math" w:hAnsi="Cambria Math" w:eastAsiaTheme="minorHAnsi"/>
                      <w:sz w:val="20"/>
                      <w:lang w:eastAsia="en-GB"/>
                    </w:rPr>
                  </m:ctrlPr>
                </m:sub>
              </m:sSub>
            </m:oMath>
            <w:r>
              <w:rPr>
                <w:sz w:val="20"/>
                <w:lang w:eastAsia="ko-KR"/>
              </w:rPr>
              <w:t xml:space="preserve"> contiguous sub-channels and a slot in a set of slots </w:t>
            </w:r>
            <m:oMath>
              <m:r>
                <m:rPr>
                  <m:sty m:val="p"/>
                </m:rPr>
                <w:rPr>
                  <w:rFonts w:ascii="Cambria Math" w:hAnsi="Cambria Math"/>
                  <w:strike/>
                  <w:color w:val="FF0000"/>
                  <w:sz w:val="20"/>
                  <w:lang w:eastAsia="ko-KR"/>
                </w:rPr>
                <m:t>{</m:t>
              </m:r>
              <m:sSubSup>
                <m:sSubSupPr>
                  <m:ctrlPr>
                    <w:rPr>
                      <w:rFonts w:ascii="Cambria Math" w:hAnsi="Cambria Math" w:cs="Calibri" w:eastAsiaTheme="minorHAnsi"/>
                      <w:i/>
                      <w:iCs/>
                      <w:strike/>
                      <w:color w:val="FF0000"/>
                      <w:sz w:val="20"/>
                      <w:lang w:eastAsia="en-GB"/>
                    </w:rPr>
                  </m:ctrlPr>
                </m:sSubSupPr>
                <m:e>
                  <m:r>
                    <w:rPr>
                      <w:rFonts w:ascii="Cambria Math" w:hAnsi="Cambria Math"/>
                      <w:strike/>
                      <w:color w:val="FF0000"/>
                      <w:sz w:val="20"/>
                      <w:lang w:eastAsia="en-GB"/>
                    </w:rPr>
                    <m:t>t</m:t>
                  </m:r>
                  <m:ctrlPr>
                    <w:rPr>
                      <w:rFonts w:ascii="Cambria Math" w:hAnsi="Cambria Math" w:cs="Calibri" w:eastAsiaTheme="minorHAnsi"/>
                      <w:i/>
                      <w:iCs/>
                      <w:strike/>
                      <w:color w:val="FF0000"/>
                      <w:sz w:val="20"/>
                      <w:lang w:eastAsia="en-GB"/>
                    </w:rPr>
                  </m:ctrlPr>
                </m:e>
                <m:sub>
                  <m:r>
                    <w:rPr>
                      <w:rFonts w:ascii="Cambria Math" w:hAnsi="Cambria Math"/>
                      <w:strike/>
                      <w:color w:val="FF0000"/>
                      <w:sz w:val="20"/>
                      <w:lang w:eastAsia="en-GB"/>
                    </w:rPr>
                    <m:t>y</m:t>
                  </m:r>
                  <m:ctrlPr>
                    <w:rPr>
                      <w:rFonts w:ascii="Cambria Math" w:hAnsi="Cambria Math" w:cs="Calibri" w:eastAsiaTheme="minorHAnsi"/>
                      <w:i/>
                      <w:iCs/>
                      <w:strike/>
                      <w:color w:val="FF0000"/>
                      <w:sz w:val="20"/>
                      <w:lang w:eastAsia="en-GB"/>
                    </w:rPr>
                  </m:ctrlPr>
                </m:sub>
                <m:sup>
                  <m:r>
                    <w:rPr>
                      <w:rFonts w:ascii="Cambria Math" w:hAnsi="Cambria Math"/>
                      <w:strike/>
                      <w:color w:val="FF0000"/>
                      <w:sz w:val="20"/>
                      <w:lang w:eastAsia="en-GB"/>
                    </w:rPr>
                    <m:t>SL</m:t>
                  </m:r>
                  <m:ctrlPr>
                    <w:rPr>
                      <w:rFonts w:ascii="Cambria Math" w:hAnsi="Cambria Math" w:cs="Calibri" w:eastAsiaTheme="minorHAnsi"/>
                      <w:i/>
                      <w:iCs/>
                      <w:strike/>
                      <w:color w:val="FF0000"/>
                      <w:sz w:val="20"/>
                      <w:lang w:eastAsia="en-GB"/>
                    </w:rPr>
                  </m:ctrlPr>
                </m:sup>
              </m:sSubSup>
              <m:r>
                <w:rPr>
                  <w:rFonts w:ascii="Cambria Math" w:hAnsi="Cambria Math" w:cs="Calibri" w:eastAsiaTheme="minorHAnsi"/>
                  <w:strike/>
                  <w:color w:val="FF0000"/>
                  <w:sz w:val="20"/>
                  <w:lang w:eastAsia="en-GB"/>
                </w:rPr>
                <m:t>}</m:t>
              </m:r>
            </m:oMath>
            <w:r>
              <w:rPr>
                <w:rFonts w:hint="eastAsia" w:eastAsia="DengXian"/>
                <w:iCs/>
                <w:color w:val="FF0000"/>
                <w:position w:val="-14"/>
                <w:sz w:val="20"/>
                <w:szCs w:val="22"/>
                <w:u w:val="single"/>
              </w:rPr>
              <w:object>
                <v:shape id="_x0000_i1027" o:spt="75" type="#_x0000_t75" style="height:17.2pt;width:2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5">
                  <o:LockedField>false</o:LockedField>
                </o:OLEObject>
              </w:object>
            </w:r>
            <w:r>
              <w:rPr>
                <w:sz w:val="20"/>
                <w:lang w:eastAsia="en-GB"/>
              </w:rPr>
              <w:t xml:space="preserve">, where </w:t>
            </w:r>
            <m:oMath>
              <m:sSub>
                <m:sSubPr>
                  <m:ctrlPr>
                    <w:rPr>
                      <w:rFonts w:ascii="Cambria Math" w:hAnsi="Cambria Math" w:cs="Calibri" w:eastAsiaTheme="minorHAnsi"/>
                      <w:i/>
                      <w:iCs/>
                      <w:sz w:val="20"/>
                    </w:rPr>
                  </m:ctrlPr>
                </m:sSubPr>
                <m:e>
                  <m:r>
                    <w:rPr>
                      <w:rFonts w:ascii="Cambria Math" w:hAnsi="Cambria Math"/>
                      <w:sz w:val="20"/>
                    </w:rPr>
                    <m:t>L</m:t>
                  </m:r>
                  <m:ctrlPr>
                    <w:rPr>
                      <w:rFonts w:ascii="Cambria Math" w:hAnsi="Cambria Math" w:cs="Calibri" w:eastAsiaTheme="minorHAnsi"/>
                      <w:i/>
                      <w:iCs/>
                      <w:sz w:val="20"/>
                    </w:rPr>
                  </m:ctrlPr>
                </m:e>
                <m:sub>
                  <m:r>
                    <m:rPr>
                      <m:nor/>
                      <m:sty m:val="p"/>
                    </m:rPr>
                    <w:rPr>
                      <w:b w:val="0"/>
                      <w:i w:val="0"/>
                      <w:sz w:val="20"/>
                    </w:rPr>
                    <m:t>subCH</m:t>
                  </m:r>
                  <m:ctrlPr>
                    <w:rPr>
                      <w:rFonts w:ascii="Cambria Math" w:hAnsi="Cambria Math" w:cs="Calibri" w:eastAsiaTheme="minorHAnsi"/>
                      <w:sz w:val="20"/>
                    </w:rPr>
                  </m:ctrlPr>
                </m:sub>
              </m:sSub>
            </m:oMath>
            <w:r>
              <w:rPr>
                <w:sz w:val="20"/>
              </w:rPr>
              <w:t xml:space="preserve"> is the number of sub-channels available for PSSCH/PSCCH transmission in a slot</w:t>
            </w:r>
          </w:p>
          <w:p>
            <w:pPr>
              <w:pStyle w:val="61"/>
              <w:widowControl w:val="0"/>
              <w:spacing w:before="120" w:after="120"/>
              <w:rPr>
                <w:sz w:val="20"/>
              </w:rPr>
            </w:pPr>
            <w:r>
              <w:rPr>
                <w:iCs/>
                <w:sz w:val="20"/>
              </w:rPr>
              <w:t>-</w:t>
            </w:r>
            <w:r>
              <w:rPr>
                <w:iCs/>
                <w:sz w:val="20"/>
              </w:rPr>
              <w:tab/>
            </w:r>
            <m:oMath>
              <m:d>
                <m:dPr>
                  <m:ctrlPr>
                    <w:rPr>
                      <w:rFonts w:ascii="Cambria Math" w:hAnsi="Cambria Math" w:cs="Calibri" w:eastAsiaTheme="minorHAnsi"/>
                      <w:i/>
                      <w:iCs/>
                      <w:sz w:val="20"/>
                    </w:rPr>
                  </m:ctrlPr>
                </m:dPr>
                <m:e>
                  <m:sSubSup>
                    <m:sSubSupPr>
                      <m:ctrlPr>
                        <w:rPr>
                          <w:rFonts w:ascii="Cambria Math" w:hAnsi="Cambria Math" w:cs="Calibri" w:eastAsiaTheme="minorHAnsi"/>
                          <w:i/>
                          <w:iCs/>
                          <w:sz w:val="20"/>
                        </w:rPr>
                      </m:ctrlPr>
                    </m:sSubSupPr>
                    <m:e>
                      <m:r>
                        <w:rPr>
                          <w:rFonts w:ascii="Cambria Math" w:hAnsi="Cambria Math"/>
                          <w:sz w:val="20"/>
                        </w:rPr>
                        <m:t>t'</m:t>
                      </m:r>
                      <m:ctrlPr>
                        <w:rPr>
                          <w:rFonts w:ascii="Cambria Math" w:hAnsi="Cambria Math" w:cs="Calibri" w:eastAsiaTheme="minorHAnsi"/>
                          <w:i/>
                          <w:iCs/>
                          <w:sz w:val="20"/>
                        </w:rPr>
                      </m:ctrlPr>
                    </m:e>
                    <m:sub>
                      <m:r>
                        <w:rPr>
                          <w:rFonts w:ascii="Cambria Math" w:hAnsi="Cambria Math"/>
                          <w:sz w:val="20"/>
                        </w:rPr>
                        <m:t>0</m:t>
                      </m:r>
                      <m:ctrlPr>
                        <w:rPr>
                          <w:rFonts w:ascii="Cambria Math" w:hAnsi="Cambria Math" w:cs="Calibri" w:eastAsiaTheme="minorHAnsi"/>
                          <w:i/>
                          <w:iCs/>
                          <w:sz w:val="20"/>
                        </w:rPr>
                      </m:ctrlPr>
                    </m:sub>
                    <m:sup>
                      <m:r>
                        <w:rPr>
                          <w:rFonts w:ascii="Cambria Math" w:hAnsi="Cambria Math"/>
                          <w:sz w:val="20"/>
                        </w:rPr>
                        <m:t>SL</m:t>
                      </m:r>
                      <m:ctrlPr>
                        <w:rPr>
                          <w:rFonts w:ascii="Cambria Math" w:hAnsi="Cambria Math" w:cs="Calibri" w:eastAsiaTheme="minorHAnsi"/>
                          <w:i/>
                          <w:iCs/>
                          <w:sz w:val="20"/>
                        </w:rPr>
                      </m:ctrlPr>
                    </m:sup>
                  </m:sSubSup>
                  <m:r>
                    <w:rPr>
                      <w:rFonts w:ascii="Cambria Math" w:hAnsi="Cambria Math"/>
                      <w:sz w:val="20"/>
                    </w:rPr>
                    <m:t>,</m:t>
                  </m:r>
                  <m:sSubSup>
                    <m:sSubSupPr>
                      <m:ctrlPr>
                        <w:rPr>
                          <w:rFonts w:ascii="Cambria Math" w:hAnsi="Cambria Math" w:cs="Calibri" w:eastAsiaTheme="minorHAnsi"/>
                          <w:i/>
                          <w:iCs/>
                          <w:sz w:val="20"/>
                        </w:rPr>
                      </m:ctrlPr>
                    </m:sSubSupPr>
                    <m:e>
                      <m:r>
                        <w:rPr>
                          <w:rFonts w:ascii="Cambria Math" w:hAnsi="Cambria Math"/>
                          <w:sz w:val="20"/>
                        </w:rPr>
                        <m:t>t'</m:t>
                      </m:r>
                      <m:ctrlPr>
                        <w:rPr>
                          <w:rFonts w:ascii="Cambria Math" w:hAnsi="Cambria Math" w:cs="Calibri" w:eastAsiaTheme="minorHAnsi"/>
                          <w:i/>
                          <w:iCs/>
                          <w:sz w:val="20"/>
                        </w:rPr>
                      </m:ctrlPr>
                    </m:e>
                    <m:sub>
                      <m:r>
                        <w:rPr>
                          <w:rFonts w:ascii="Cambria Math" w:hAnsi="Cambria Math"/>
                          <w:sz w:val="20"/>
                        </w:rPr>
                        <m:t>1</m:t>
                      </m:r>
                      <m:ctrlPr>
                        <w:rPr>
                          <w:rFonts w:ascii="Cambria Math" w:hAnsi="Cambria Math" w:cs="Calibri" w:eastAsiaTheme="minorHAnsi"/>
                          <w:i/>
                          <w:iCs/>
                          <w:sz w:val="20"/>
                        </w:rPr>
                      </m:ctrlPr>
                    </m:sub>
                    <m:sup>
                      <m:r>
                        <w:rPr>
                          <w:rFonts w:ascii="Cambria Math" w:hAnsi="Cambria Math"/>
                          <w:sz w:val="20"/>
                        </w:rPr>
                        <m:t>SL</m:t>
                      </m:r>
                      <m:ctrlPr>
                        <w:rPr>
                          <w:rFonts w:ascii="Cambria Math" w:hAnsi="Cambria Math" w:cs="Calibri" w:eastAsiaTheme="minorHAnsi"/>
                          <w:i/>
                          <w:iCs/>
                          <w:sz w:val="20"/>
                        </w:rPr>
                      </m:ctrlPr>
                    </m:sup>
                  </m:sSubSup>
                  <m:r>
                    <w:rPr>
                      <w:rFonts w:ascii="Cambria Math" w:hAnsi="Cambria Math"/>
                      <w:sz w:val="20"/>
                    </w:rPr>
                    <m:t>,</m:t>
                  </m:r>
                  <m:sSubSup>
                    <m:sSubSupPr>
                      <m:ctrlPr>
                        <w:rPr>
                          <w:rFonts w:ascii="Cambria Math" w:hAnsi="Cambria Math" w:cs="Calibri" w:eastAsiaTheme="minorHAnsi"/>
                          <w:i/>
                          <w:iCs/>
                          <w:sz w:val="20"/>
                        </w:rPr>
                      </m:ctrlPr>
                    </m:sSubSupPr>
                    <m:e>
                      <m:r>
                        <w:rPr>
                          <w:rFonts w:ascii="Cambria Math" w:hAnsi="Cambria Math"/>
                          <w:sz w:val="20"/>
                        </w:rPr>
                        <m:t>t'</m:t>
                      </m:r>
                      <m:ctrlPr>
                        <w:rPr>
                          <w:rFonts w:ascii="Cambria Math" w:hAnsi="Cambria Math" w:cs="Calibri" w:eastAsiaTheme="minorHAnsi"/>
                          <w:i/>
                          <w:iCs/>
                          <w:sz w:val="20"/>
                        </w:rPr>
                      </m:ctrlPr>
                    </m:e>
                    <m:sub>
                      <m:r>
                        <w:rPr>
                          <w:rFonts w:ascii="Cambria Math" w:hAnsi="Cambria Math"/>
                          <w:sz w:val="20"/>
                        </w:rPr>
                        <m:t>2</m:t>
                      </m:r>
                      <m:ctrlPr>
                        <w:rPr>
                          <w:rFonts w:ascii="Cambria Math" w:hAnsi="Cambria Math" w:cs="Calibri" w:eastAsiaTheme="minorHAnsi"/>
                          <w:i/>
                          <w:iCs/>
                          <w:sz w:val="20"/>
                        </w:rPr>
                      </m:ctrlPr>
                    </m:sub>
                    <m:sup>
                      <m:r>
                        <w:rPr>
                          <w:rFonts w:ascii="Cambria Math" w:hAnsi="Cambria Math"/>
                          <w:sz w:val="20"/>
                        </w:rPr>
                        <m:t>SL</m:t>
                      </m:r>
                      <m:ctrlPr>
                        <w:rPr>
                          <w:rFonts w:ascii="Cambria Math" w:hAnsi="Cambria Math" w:cs="Calibri" w:eastAsiaTheme="minorHAnsi"/>
                          <w:i/>
                          <w:iCs/>
                          <w:sz w:val="20"/>
                        </w:rPr>
                      </m:ctrlPr>
                    </m:sup>
                  </m:sSubSup>
                  <m:r>
                    <w:rPr>
                      <w:rFonts w:ascii="Cambria Math" w:hAnsi="Cambria Math"/>
                      <w:sz w:val="20"/>
                    </w:rPr>
                    <m:t>,...</m:t>
                  </m:r>
                  <m:ctrlPr>
                    <w:rPr>
                      <w:rFonts w:ascii="Cambria Math" w:hAnsi="Cambria Math" w:cs="Calibri" w:eastAsiaTheme="minorHAnsi"/>
                      <w:i/>
                      <w:iCs/>
                      <w:sz w:val="20"/>
                    </w:rPr>
                  </m:ctrlPr>
                </m:e>
              </m:d>
            </m:oMath>
            <w:r>
              <w:rPr>
                <w:sz w:val="20"/>
                <w:lang w:eastAsia="ko-KR"/>
              </w:rPr>
              <w:t xml:space="preserve"> </w:t>
            </w:r>
            <w:r>
              <w:rPr>
                <w:sz w:val="20"/>
              </w:rPr>
              <w:t>is a</w:t>
            </w:r>
            <w:r>
              <w:rPr>
                <w:sz w:val="20"/>
                <w:lang w:eastAsia="ko-KR"/>
              </w:rPr>
              <w:t xml:space="preserve"> </w:t>
            </w:r>
            <w:r>
              <w:rPr>
                <w:sz w:val="20"/>
              </w:rPr>
              <w:t>set</w:t>
            </w:r>
            <w:r>
              <w:rPr>
                <w:sz w:val="20"/>
                <w:lang w:eastAsia="ko-KR"/>
              </w:rPr>
              <w:t xml:space="preserve"> of slots in a </w:t>
            </w:r>
            <w:r>
              <w:rPr>
                <w:sz w:val="18"/>
                <w:szCs w:val="18"/>
                <w:highlight w:val="none"/>
                <w:lang w:eastAsia="ko-KR"/>
              </w:rPr>
              <w:t xml:space="preserve">sidelink resource pool [6, </w:t>
            </w:r>
            <w:r>
              <w:rPr>
                <w:sz w:val="20"/>
                <w:lang w:eastAsia="ko-KR"/>
              </w:rPr>
              <w:t>TS 38.214]</w:t>
            </w:r>
          </w:p>
          <w:p>
            <w:pPr>
              <w:pStyle w:val="61"/>
              <w:widowControl w:val="0"/>
              <w:spacing w:before="120" w:after="120"/>
              <w:rPr>
                <w:sz w:val="20"/>
              </w:rPr>
            </w:pPr>
            <w:r>
              <w:rPr>
                <w:iCs/>
                <w:sz w:val="20"/>
              </w:rPr>
              <w:t>-</w:t>
            </w:r>
            <w:r>
              <w:rPr>
                <w:iCs/>
                <w:sz w:val="20"/>
              </w:rPr>
              <w:tab/>
            </w:r>
            <m:oMath>
              <m:sSub>
                <m:sSubPr>
                  <m:ctrlPr>
                    <w:rPr>
                      <w:rFonts w:ascii="Cambria Math" w:hAnsi="Cambria Math" w:cs="Calibri" w:eastAsiaTheme="minorHAnsi"/>
                      <w:i/>
                      <w:iCs/>
                      <w:sz w:val="20"/>
                    </w:rPr>
                  </m:ctrlPr>
                </m:sSubPr>
                <m:e>
                  <m:r>
                    <w:rPr>
                      <w:rFonts w:ascii="Cambria Math" w:hAnsi="Cambria Math"/>
                      <w:sz w:val="20"/>
                    </w:rPr>
                    <m:t>y</m:t>
                  </m:r>
                  <m:ctrlPr>
                    <w:rPr>
                      <w:rFonts w:ascii="Cambria Math" w:hAnsi="Cambria Math" w:cs="Calibri" w:eastAsiaTheme="minorHAnsi"/>
                      <w:i/>
                      <w:iCs/>
                      <w:sz w:val="20"/>
                    </w:rPr>
                  </m:ctrlPr>
                </m:e>
                <m:sub>
                  <m:r>
                    <w:rPr>
                      <w:rFonts w:ascii="Cambria Math" w:hAnsi="Cambria Math"/>
                      <w:sz w:val="20"/>
                    </w:rPr>
                    <m:t>0</m:t>
                  </m:r>
                  <m:ctrlPr>
                    <w:rPr>
                      <w:rFonts w:ascii="Cambria Math" w:hAnsi="Cambria Math" w:cs="Calibri" w:eastAsiaTheme="minorHAnsi"/>
                      <w:i/>
                      <w:iCs/>
                      <w:sz w:val="20"/>
                    </w:rPr>
                  </m:ctrlPr>
                </m:sub>
              </m:sSub>
            </m:oMath>
            <w:r>
              <w:rPr>
                <w:sz w:val="20"/>
              </w:rPr>
              <w:t xml:space="preserve"> is an </w:t>
            </w:r>
            <w:r>
              <w:rPr>
                <w:sz w:val="20"/>
                <w:lang w:eastAsia="ko-KR"/>
              </w:rPr>
              <w:t>index</w:t>
            </w:r>
            <w:r>
              <w:rPr>
                <w:sz w:val="20"/>
              </w:rPr>
              <w:t xml:space="preserve"> of a slot where the PSCCH with SCI format 1-A is transmitted.</w:t>
            </w:r>
          </w:p>
          <w:p>
            <w:pPr>
              <w:widowControl w:val="0"/>
              <w:spacing w:before="120" w:after="120"/>
              <w:jc w:val="center"/>
            </w:pPr>
            <w:r>
              <w:rPr>
                <w:b/>
                <w:iCs/>
                <w:color w:val="FF0000"/>
                <w:sz w:val="20"/>
                <w:szCs w:val="22"/>
              </w:rPr>
              <w:t>&lt;Unchanged parts are omitted&gt;</w:t>
            </w:r>
          </w:p>
        </w:tc>
      </w:tr>
    </w:tbl>
    <w:p>
      <w:pPr>
        <w:pStyle w:val="17"/>
        <w:tabs>
          <w:tab w:val="right" w:leader="dot" w:pos="9660"/>
          <w:tab w:val="clear" w:pos="0"/>
        </w:tabs>
      </w:pPr>
      <w:r>
        <w:fldChar w:fldCharType="begin"/>
      </w:r>
      <w:r>
        <w:instrText xml:space="preserve"> HYPERLINK \l _Toc25894 </w:instrText>
      </w:r>
      <w:r>
        <w:fldChar w:fldCharType="separate"/>
      </w:r>
      <w:r>
        <w:rPr>
          <w:rFonts w:hint="default" w:ascii="Times New Roman" w:hAnsi="Times New Roman" w:eastAsia="宋体" w:cs="Times New Roman"/>
          <w:bCs/>
          <w:i/>
          <w:iCs/>
          <w:lang w:val="en-US" w:eastAsia="zh-CN"/>
        </w:rPr>
        <w:t xml:space="preserve">Proposal 5: </w:t>
      </w:r>
      <w:r>
        <w:rPr>
          <w:rFonts w:hint="eastAsia"/>
          <w:szCs w:val="22"/>
          <w:lang w:val="en-US" w:eastAsia="zh-CN"/>
        </w:rPr>
        <w:t>To adopt the foll</w:t>
      </w:r>
      <w:r>
        <w:rPr>
          <w:szCs w:val="22"/>
          <w:lang w:val="en-US" w:eastAsia="zh-CN"/>
        </w:rPr>
        <w:t>o</w:t>
      </w:r>
      <w:r>
        <w:rPr>
          <w:rFonts w:hint="eastAsia"/>
          <w:szCs w:val="22"/>
          <w:lang w:val="en-US" w:eastAsia="zh-CN"/>
        </w:rPr>
        <w:t xml:space="preserve">wing </w:t>
      </w:r>
      <w:r>
        <w:rPr>
          <w:szCs w:val="22"/>
          <w:lang w:val="en-US" w:eastAsia="zh-CN"/>
        </w:rPr>
        <w:t>TP for</w:t>
      </w:r>
      <w:r>
        <w:rPr>
          <w:rFonts w:hint="eastAsia"/>
          <w:szCs w:val="22"/>
          <w:lang w:val="en-US" w:eastAsia="zh-CN"/>
        </w:rPr>
        <w:t xml:space="preserve"> TS 38.214.</w:t>
      </w:r>
      <w:r>
        <w:fldChar w:fldCharType="end"/>
      </w:r>
    </w:p>
    <w:tbl>
      <w:tblPr>
        <w:tblStyle w:val="23"/>
        <w:tblpPr w:leftFromText="180" w:rightFromText="180" w:vertAnchor="text" w:horzAnchor="page" w:tblpX="1445" w:tblpY="211"/>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spacing w:after="120"/>
              <w:ind w:right="210"/>
              <w:outlineLvl w:val="2"/>
              <w:rPr>
                <w:color w:val="000000"/>
              </w:rPr>
            </w:pPr>
            <w:r>
              <w:rPr>
                <w:color w:val="000000"/>
              </w:rPr>
              <w:t>8.1.4</w:t>
            </w:r>
            <w:r>
              <w:rPr>
                <w:color w:val="000000"/>
              </w:rPr>
              <w:tab/>
            </w:r>
            <w:r>
              <w:rPr>
                <w:color w:val="000000"/>
              </w:rPr>
              <w:t>UE procedure for determining the subset of resources to be reported to higher layers in PSSCH resource selection in sidelink resource allocation mode 2</w:t>
            </w:r>
          </w:p>
          <w:p>
            <w:pPr>
              <w:widowControl w:val="0"/>
              <w:spacing w:before="120" w:after="120"/>
              <w:jc w:val="center"/>
              <w:rPr>
                <w:sz w:val="20"/>
              </w:rPr>
            </w:pPr>
            <w:r>
              <w:rPr>
                <w:b/>
                <w:iCs/>
                <w:color w:val="FF0000"/>
                <w:sz w:val="20"/>
              </w:rPr>
              <w:t>&lt;Unchanged parts are omitted&gt;</w:t>
            </w:r>
          </w:p>
          <w:p>
            <w:pPr>
              <w:pStyle w:val="51"/>
              <w:widowControl w:val="0"/>
              <w:rPr>
                <w:rFonts w:eastAsia="Malgun Gothic"/>
                <w:sz w:val="20"/>
                <w:szCs w:val="20"/>
                <w:lang w:eastAsia="ko-KR"/>
              </w:rPr>
            </w:pPr>
            <w:r>
              <w:rPr>
                <w:rFonts w:eastAsia="Malgun Gothic"/>
                <w:sz w:val="20"/>
                <w:szCs w:val="20"/>
                <w:lang w:val="en-US" w:eastAsia="ko-KR"/>
              </w:rPr>
              <w:t>2</w:t>
            </w:r>
            <w:r>
              <w:rPr>
                <w:rFonts w:eastAsia="Malgun Gothic"/>
                <w:sz w:val="20"/>
                <w:szCs w:val="20"/>
                <w:lang w:eastAsia="ko-KR"/>
              </w:rPr>
              <w:t>)</w:t>
            </w:r>
            <w:r>
              <w:rPr>
                <w:rFonts w:eastAsia="Malgun Gothic"/>
                <w:sz w:val="20"/>
                <w:szCs w:val="20"/>
                <w:lang w:eastAsia="ko-KR"/>
              </w:rPr>
              <w:tab/>
            </w:r>
            <w:r>
              <w:rPr>
                <w:rFonts w:eastAsia="Malgun Gothic"/>
                <w:sz w:val="20"/>
                <w:szCs w:val="20"/>
                <w:lang w:eastAsia="ko-KR"/>
              </w:rPr>
              <w:t>The sensing window is defined by the range of slots [</w:t>
            </w:r>
            <m:oMath>
              <m:r>
                <w:rPr>
                  <w:rFonts w:ascii="Cambria Math" w:hAnsi="Cambria Math" w:eastAsia="Malgun Gothic"/>
                  <w:sz w:val="20"/>
                  <w:szCs w:val="20"/>
                  <w:lang w:eastAsia="ko-KR"/>
                </w:rPr>
                <m:t>n –</m:t>
              </m:r>
              <m:sSub>
                <m:sSubPr>
                  <m:ctrlPr>
                    <w:rPr>
                      <w:rFonts w:ascii="Cambria Math" w:hAnsi="Cambria Math" w:eastAsia="Malgun Gothic"/>
                      <w:i/>
                      <w:sz w:val="20"/>
                      <w:szCs w:val="20"/>
                      <w:lang w:eastAsia="ko-KR"/>
                    </w:rPr>
                  </m:ctrlPr>
                </m:sSubPr>
                <m:e>
                  <m:r>
                    <w:rPr>
                      <w:rFonts w:ascii="Cambria Math" w:hAnsi="Cambria Math" w:eastAsia="Malgun Gothic"/>
                      <w:sz w:val="20"/>
                      <w:szCs w:val="20"/>
                      <w:lang w:eastAsia="ko-KR"/>
                    </w:rPr>
                    <m:t>T</m:t>
                  </m:r>
                  <m:ctrlPr>
                    <w:rPr>
                      <w:rFonts w:ascii="Cambria Math" w:hAnsi="Cambria Math" w:eastAsia="Malgun Gothic"/>
                      <w:i/>
                      <w:sz w:val="20"/>
                      <w:szCs w:val="20"/>
                      <w:lang w:eastAsia="ko-KR"/>
                    </w:rPr>
                  </m:ctrlPr>
                </m:e>
                <m:sub>
                  <m:r>
                    <w:rPr>
                      <w:rFonts w:ascii="Cambria Math" w:hAnsi="Cambria Math" w:eastAsia="Malgun Gothic"/>
                      <w:sz w:val="20"/>
                      <w:szCs w:val="20"/>
                      <w:lang w:eastAsia="ko-KR"/>
                    </w:rPr>
                    <m:t>0</m:t>
                  </m:r>
                  <m:ctrlPr>
                    <w:rPr>
                      <w:rFonts w:ascii="Cambria Math" w:hAnsi="Cambria Math" w:eastAsia="Malgun Gothic"/>
                      <w:i/>
                      <w:sz w:val="20"/>
                      <w:szCs w:val="20"/>
                      <w:lang w:eastAsia="ko-KR"/>
                    </w:rPr>
                  </m:ctrlPr>
                </m:sub>
              </m:sSub>
              <m:r>
                <w:rPr>
                  <w:rFonts w:ascii="Cambria Math" w:hAnsi="Cambria Math" w:eastAsia="Malgun Gothic"/>
                  <w:sz w:val="20"/>
                  <w:szCs w:val="20"/>
                  <w:lang w:eastAsia="ko-KR"/>
                </w:rPr>
                <m:t>,n–</m:t>
              </m:r>
              <m:sSubSup>
                <m:sSubSupPr>
                  <m:ctrlPr>
                    <w:rPr>
                      <w:rFonts w:ascii="Cambria Math" w:hAnsi="Cambria Math" w:eastAsia="Malgun Gothic"/>
                      <w:i/>
                      <w:sz w:val="20"/>
                      <w:szCs w:val="20"/>
                      <w:lang w:val="de-DE" w:eastAsia="ko-KR"/>
                    </w:rPr>
                  </m:ctrlPr>
                </m:sSubSupPr>
                <m:e>
                  <m:r>
                    <w:rPr>
                      <w:rFonts w:ascii="Cambria Math" w:hAnsi="Cambria Math" w:eastAsia="Malgun Gothic"/>
                      <w:sz w:val="20"/>
                      <w:szCs w:val="20"/>
                      <w:lang w:val="de-DE" w:eastAsia="ko-KR"/>
                    </w:rPr>
                    <m:t>T</m:t>
                  </m:r>
                  <m:ctrlPr>
                    <w:rPr>
                      <w:rFonts w:ascii="Cambria Math" w:hAnsi="Cambria Math" w:eastAsia="Malgun Gothic"/>
                      <w:i/>
                      <w:sz w:val="20"/>
                      <w:szCs w:val="20"/>
                      <w:lang w:val="de-DE" w:eastAsia="ko-KR"/>
                    </w:rPr>
                  </m:ctrlPr>
                </m:e>
                <m:sub>
                  <m:r>
                    <w:rPr>
                      <w:rFonts w:ascii="Cambria Math" w:hAnsi="Cambria Math" w:eastAsia="Malgun Gothic"/>
                      <w:sz w:val="20"/>
                      <w:szCs w:val="20"/>
                      <w:lang w:val="de-DE" w:eastAsia="ko-KR"/>
                    </w:rPr>
                    <m:t>proc</m:t>
                  </m:r>
                  <m:r>
                    <m:rPr>
                      <m:sty m:val="p"/>
                    </m:rPr>
                    <w:rPr>
                      <w:rFonts w:ascii="Cambria Math" w:hAnsi="Cambria Math" w:eastAsia="Malgun Gothic"/>
                      <w:sz w:val="20"/>
                      <w:szCs w:val="20"/>
                      <w:lang w:eastAsia="ko-KR"/>
                    </w:rPr>
                    <m:t>,0</m:t>
                  </m:r>
                  <m:ctrlPr>
                    <w:rPr>
                      <w:rFonts w:ascii="Cambria Math" w:hAnsi="Cambria Math" w:eastAsia="Malgun Gothic"/>
                      <w:sz w:val="20"/>
                      <w:szCs w:val="20"/>
                      <w:lang w:eastAsia="ko-KR"/>
                    </w:rPr>
                  </m:ctrlPr>
                </m:sub>
                <m:sup>
                  <m:r>
                    <w:rPr>
                      <w:rFonts w:ascii="Cambria Math" w:hAnsi="Cambria Math" w:eastAsia="Malgun Gothic"/>
                      <w:sz w:val="20"/>
                      <w:szCs w:val="20"/>
                      <w:lang w:val="de-DE" w:eastAsia="ko-KR"/>
                    </w:rPr>
                    <m:t>SL</m:t>
                  </m:r>
                  <m:ctrlPr>
                    <w:rPr>
                      <w:rFonts w:ascii="Cambria Math" w:hAnsi="Cambria Math" w:eastAsia="Malgun Gothic"/>
                      <w:i/>
                      <w:sz w:val="20"/>
                      <w:szCs w:val="20"/>
                      <w:lang w:val="de-DE" w:eastAsia="ko-KR"/>
                    </w:rPr>
                  </m:ctrlPr>
                </m:sup>
              </m:sSubSup>
            </m:oMath>
            <w:r>
              <w:rPr>
                <w:rFonts w:eastAsia="Malgun Gothic"/>
                <w:sz w:val="20"/>
                <w:szCs w:val="20"/>
                <w:lang w:eastAsia="ko-KR"/>
              </w:rPr>
              <w:t xml:space="preserve">) where </w:t>
            </w:r>
            <m:oMath>
              <m:sSub>
                <m:sSubPr>
                  <m:ctrlPr>
                    <w:rPr>
                      <w:rFonts w:ascii="Cambria Math" w:hAnsi="Cambria Math" w:eastAsia="Malgun Gothic"/>
                      <w:i/>
                      <w:sz w:val="20"/>
                      <w:szCs w:val="20"/>
                      <w:lang w:eastAsia="ko-KR"/>
                    </w:rPr>
                  </m:ctrlPr>
                </m:sSubPr>
                <m:e>
                  <m:r>
                    <w:rPr>
                      <w:rFonts w:ascii="Cambria Math" w:hAnsi="Cambria Math" w:eastAsia="Malgun Gothic"/>
                      <w:sz w:val="20"/>
                      <w:szCs w:val="20"/>
                      <w:lang w:eastAsia="ko-KR"/>
                    </w:rPr>
                    <m:t>T</m:t>
                  </m:r>
                  <m:ctrlPr>
                    <w:rPr>
                      <w:rFonts w:ascii="Cambria Math" w:hAnsi="Cambria Math" w:eastAsia="Malgun Gothic"/>
                      <w:i/>
                      <w:sz w:val="20"/>
                      <w:szCs w:val="20"/>
                      <w:lang w:eastAsia="ko-KR"/>
                    </w:rPr>
                  </m:ctrlPr>
                </m:e>
                <m:sub>
                  <m:r>
                    <w:rPr>
                      <w:rFonts w:ascii="Cambria Math" w:hAnsi="Cambria Math" w:eastAsia="Malgun Gothic"/>
                      <w:sz w:val="20"/>
                      <w:szCs w:val="20"/>
                      <w:lang w:eastAsia="ko-KR"/>
                    </w:rPr>
                    <m:t>0</m:t>
                  </m:r>
                  <m:ctrlPr>
                    <w:rPr>
                      <w:rFonts w:ascii="Cambria Math" w:hAnsi="Cambria Math" w:eastAsia="Malgun Gothic"/>
                      <w:i/>
                      <w:sz w:val="20"/>
                      <w:szCs w:val="20"/>
                      <w:lang w:eastAsia="ko-KR"/>
                    </w:rPr>
                  </m:ctrlPr>
                </m:sub>
              </m:sSub>
            </m:oMath>
            <w:r>
              <w:rPr>
                <w:rFonts w:eastAsia="Malgun Gothic"/>
                <w:sz w:val="20"/>
                <w:szCs w:val="20"/>
                <w:lang w:eastAsia="ko-KR"/>
              </w:rPr>
              <w:t xml:space="preserve"> is defined above and </w:t>
            </w:r>
            <m:oMath>
              <m:sSubSup>
                <m:sSubSupPr>
                  <m:ctrlPr>
                    <w:rPr>
                      <w:rFonts w:ascii="Cambria Math" w:hAnsi="Cambria Math" w:eastAsia="Malgun Gothic"/>
                      <w:i/>
                      <w:sz w:val="20"/>
                      <w:szCs w:val="20"/>
                      <w:lang w:val="de-DE" w:eastAsia="ko-KR"/>
                    </w:rPr>
                  </m:ctrlPr>
                </m:sSubSupPr>
                <m:e>
                  <m:r>
                    <w:rPr>
                      <w:rFonts w:ascii="Cambria Math" w:hAnsi="Cambria Math" w:eastAsia="Malgun Gothic"/>
                      <w:sz w:val="20"/>
                      <w:szCs w:val="20"/>
                      <w:lang w:val="de-DE" w:eastAsia="ko-KR"/>
                    </w:rPr>
                    <m:t>T</m:t>
                  </m:r>
                  <m:ctrlPr>
                    <w:rPr>
                      <w:rFonts w:ascii="Cambria Math" w:hAnsi="Cambria Math" w:eastAsia="Malgun Gothic"/>
                      <w:i/>
                      <w:sz w:val="20"/>
                      <w:szCs w:val="20"/>
                      <w:lang w:val="de-DE" w:eastAsia="ko-KR"/>
                    </w:rPr>
                  </m:ctrlPr>
                </m:e>
                <m:sub>
                  <m:r>
                    <w:rPr>
                      <w:rFonts w:ascii="Cambria Math" w:hAnsi="Cambria Math" w:eastAsia="Malgun Gothic"/>
                      <w:sz w:val="20"/>
                      <w:szCs w:val="20"/>
                      <w:lang w:val="de-DE" w:eastAsia="ko-KR"/>
                    </w:rPr>
                    <m:t>proc</m:t>
                  </m:r>
                  <m:r>
                    <m:rPr>
                      <m:sty m:val="p"/>
                    </m:rPr>
                    <w:rPr>
                      <w:rFonts w:ascii="Cambria Math" w:hAnsi="Cambria Math" w:eastAsia="Malgun Gothic"/>
                      <w:sz w:val="20"/>
                      <w:szCs w:val="20"/>
                      <w:lang w:eastAsia="ko-KR"/>
                    </w:rPr>
                    <m:t>,0</m:t>
                  </m:r>
                  <m:ctrlPr>
                    <w:rPr>
                      <w:rFonts w:ascii="Cambria Math" w:hAnsi="Cambria Math" w:eastAsia="Malgun Gothic"/>
                      <w:sz w:val="20"/>
                      <w:szCs w:val="20"/>
                      <w:lang w:eastAsia="ko-KR"/>
                    </w:rPr>
                  </m:ctrlPr>
                </m:sub>
                <m:sup>
                  <m:r>
                    <w:rPr>
                      <w:rFonts w:ascii="Cambria Math" w:hAnsi="Cambria Math" w:eastAsia="Malgun Gothic"/>
                      <w:sz w:val="20"/>
                      <w:szCs w:val="20"/>
                      <w:lang w:val="de-DE" w:eastAsia="ko-KR"/>
                    </w:rPr>
                    <m:t>SL</m:t>
                  </m:r>
                  <m:ctrlPr>
                    <w:rPr>
                      <w:rFonts w:ascii="Cambria Math" w:hAnsi="Cambria Math" w:eastAsia="Malgun Gothic"/>
                      <w:i/>
                      <w:sz w:val="20"/>
                      <w:szCs w:val="20"/>
                      <w:lang w:val="de-DE" w:eastAsia="ko-KR"/>
                    </w:rPr>
                  </m:ctrlPr>
                </m:sup>
              </m:sSubSup>
            </m:oMath>
            <w:r>
              <w:rPr>
                <w:rFonts w:eastAsia="Malgun Gothic"/>
                <w:sz w:val="20"/>
                <w:szCs w:val="20"/>
                <w:lang w:eastAsia="en-GB"/>
              </w:rPr>
              <w:t xml:space="preserve"> is defined in slots in Table 8.1.4-1 </w:t>
            </w:r>
            <w:r>
              <w:rPr>
                <w:rFonts w:eastAsiaTheme="minorEastAsia"/>
                <w:sz w:val="20"/>
                <w:szCs w:val="20"/>
              </w:rPr>
              <w:t xml:space="preserve">where </w:t>
            </w:r>
            <m:oMath>
              <m:sSub>
                <m:sSubPr>
                  <m:ctrlPr>
                    <w:rPr>
                      <w:rFonts w:ascii="Cambria Math" w:hAnsi="Cambria Math"/>
                      <w:i/>
                      <w:sz w:val="20"/>
                      <w:szCs w:val="20"/>
                    </w:rPr>
                  </m:ctrlPr>
                </m:sSubPr>
                <m:e>
                  <m:r>
                    <w:rPr>
                      <w:rFonts w:ascii="Cambria Math" w:hAnsi="Cambria Math"/>
                      <w:sz w:val="20"/>
                      <w:szCs w:val="20"/>
                    </w:rPr>
                    <m:t>μ</m:t>
                  </m:r>
                  <m:ctrlPr>
                    <w:rPr>
                      <w:rFonts w:ascii="Cambria Math" w:hAnsi="Cambria Math"/>
                      <w:i/>
                      <w:sz w:val="20"/>
                      <w:szCs w:val="20"/>
                    </w:rPr>
                  </m:ctrlPr>
                </m:e>
                <m:sub>
                  <m:r>
                    <w:rPr>
                      <w:rFonts w:ascii="Cambria Math" w:hAnsi="Cambria Math"/>
                      <w:sz w:val="20"/>
                      <w:szCs w:val="20"/>
                    </w:rPr>
                    <m:t>SL</m:t>
                  </m:r>
                  <m:ctrlPr>
                    <w:rPr>
                      <w:rFonts w:ascii="Cambria Math" w:hAnsi="Cambria Math"/>
                      <w:i/>
                      <w:sz w:val="20"/>
                      <w:szCs w:val="20"/>
                    </w:rPr>
                  </m:ctrlPr>
                </m:sub>
              </m:sSub>
            </m:oMath>
            <w:r>
              <w:rPr>
                <w:rFonts w:eastAsiaTheme="minorEastAsia"/>
                <w:sz w:val="20"/>
                <w:szCs w:val="20"/>
              </w:rPr>
              <w:t xml:space="preserve"> </w:t>
            </w:r>
            <w:r>
              <w:rPr>
                <w:sz w:val="20"/>
                <w:szCs w:val="20"/>
              </w:rPr>
              <w:t>is the SCS configuration of the SL BWP</w:t>
            </w:r>
            <w:r>
              <w:rPr>
                <w:rFonts w:eastAsia="Malgun Gothic"/>
                <w:sz w:val="20"/>
                <w:szCs w:val="20"/>
                <w:lang w:eastAsia="ko-KR"/>
              </w:rPr>
              <w:t xml:space="preserve">. The UE shall monitor slots </w:t>
            </w:r>
            <w:r>
              <w:rPr>
                <w:rFonts w:eastAsia="Malgun Gothic"/>
                <w:sz w:val="20"/>
                <w:szCs w:val="20"/>
                <w:highlight w:val="none"/>
                <w:lang w:eastAsia="ko-KR"/>
              </w:rPr>
              <w:t xml:space="preserve">which </w:t>
            </w:r>
            <w:r>
              <w:rPr>
                <w:rFonts w:eastAsia="Malgun Gothic"/>
                <w:strike/>
                <w:dstrike w:val="0"/>
                <w:color w:val="FF0000"/>
                <w:sz w:val="20"/>
                <w:szCs w:val="20"/>
                <w:highlight w:val="none"/>
                <w:lang w:eastAsia="ko-KR"/>
              </w:rPr>
              <w:t>can</w:t>
            </w:r>
            <w:r>
              <w:rPr>
                <w:rFonts w:eastAsia="Malgun Gothic"/>
                <w:sz w:val="20"/>
                <w:szCs w:val="20"/>
                <w:highlight w:val="none"/>
                <w:lang w:eastAsia="ko-KR"/>
              </w:rPr>
              <w:t xml:space="preserve"> belong to a sidelink resource pool </w:t>
            </w:r>
            <w:r>
              <w:rPr>
                <w:rFonts w:eastAsia="Malgun Gothic"/>
                <w:sz w:val="20"/>
                <w:szCs w:val="20"/>
                <w:lang w:eastAsia="ko-KR"/>
              </w:rPr>
              <w:t>within the sensing window except for those in which its own transmissions occur. The UE shall perform the behaviour in the following steps based on PSCCH decoded and RSRP measured in these slots.</w:t>
            </w:r>
          </w:p>
          <w:p>
            <w:pPr>
              <w:pStyle w:val="61"/>
              <w:widowControl w:val="0"/>
              <w:spacing w:before="120" w:after="120"/>
              <w:ind w:left="0" w:firstLine="0"/>
              <w:jc w:val="center"/>
              <w:rPr>
                <w:sz w:val="20"/>
              </w:rPr>
            </w:pPr>
            <w:r>
              <w:rPr>
                <w:b/>
                <w:iCs/>
                <w:color w:val="FF0000"/>
                <w:sz w:val="20"/>
              </w:rPr>
              <w:t>&lt;Unchanged parts are omitted&gt;</w:t>
            </w:r>
          </w:p>
        </w:tc>
      </w:tr>
    </w:tbl>
    <w:p>
      <w:pPr>
        <w:pStyle w:val="17"/>
        <w:tabs>
          <w:tab w:val="right" w:leader="dot" w:pos="9660"/>
          <w:tab w:val="clear" w:pos="0"/>
        </w:tabs>
      </w:pPr>
      <w:r>
        <w:fldChar w:fldCharType="begin"/>
      </w:r>
      <w:r>
        <w:instrText xml:space="preserve"> HYPERLINK \l _Toc18920 </w:instrText>
      </w:r>
      <w:r>
        <w:fldChar w:fldCharType="separate"/>
      </w:r>
      <w:r>
        <w:rPr>
          <w:rFonts w:hint="default" w:ascii="Times New Roman" w:hAnsi="Times New Roman" w:eastAsia="宋体" w:cs="Times New Roman"/>
          <w:bCs/>
          <w:i/>
          <w:iCs/>
          <w:szCs w:val="22"/>
          <w:lang w:val="en-US" w:eastAsia="zh-CN"/>
        </w:rPr>
        <w:t xml:space="preserve">Proposal 6: </w:t>
      </w:r>
      <w:r>
        <w:rPr>
          <w:rFonts w:hint="eastAsia"/>
          <w:szCs w:val="22"/>
          <w:lang w:val="en-US" w:eastAsia="zh-CN"/>
        </w:rPr>
        <w:t>MAC layer randomly selects the resources with the limitation of selecting resources for different TBs in different slots, i.e.，option 2 should be supported</w:t>
      </w:r>
      <w:r>
        <w:fldChar w:fldCharType="end"/>
      </w:r>
    </w:p>
    <w:p>
      <w:pPr>
        <w:pStyle w:val="17"/>
        <w:tabs>
          <w:tab w:val="right" w:leader="dot" w:pos="9660"/>
          <w:tab w:val="clear" w:pos="0"/>
        </w:tabs>
      </w:pPr>
      <w:r>
        <w:fldChar w:fldCharType="begin"/>
      </w:r>
      <w:r>
        <w:instrText xml:space="preserve"> HYPERLINK \l _Toc28987 </w:instrText>
      </w:r>
      <w:r>
        <w:fldChar w:fldCharType="separate"/>
      </w:r>
      <w:r>
        <w:rPr>
          <w:rFonts w:hint="default" w:ascii="Times New Roman" w:hAnsi="Times New Roman" w:eastAsia="宋体" w:cs="Times New Roman"/>
          <w:bCs/>
          <w:i/>
          <w:iCs/>
          <w:szCs w:val="22"/>
          <w:lang w:val="en-US" w:eastAsia="zh-CN"/>
        </w:rPr>
        <w:t xml:space="preserve">Proposal 7: </w:t>
      </w:r>
      <w:r>
        <w:rPr>
          <w:rFonts w:hint="eastAsia"/>
          <w:szCs w:val="22"/>
          <w:lang w:val="en-US" w:eastAsia="zh-CN"/>
        </w:rPr>
        <w:t>It is not necessary to introduce additional mechanisms to further limit the number of multiple processing resources.</w:t>
      </w:r>
      <w:r>
        <w:fldChar w:fldCharType="end"/>
      </w:r>
    </w:p>
    <w:p>
      <w:pPr>
        <w:pStyle w:val="17"/>
        <w:tabs>
          <w:tab w:val="clear" w:pos="0"/>
        </w:tabs>
        <w:spacing w:before="120" w:after="120"/>
        <w:rPr>
          <w:rFonts w:hint="eastAsia" w:eastAsiaTheme="minorEastAsia"/>
          <w:lang w:val="en-US" w:eastAsia="zh-CN"/>
        </w:rPr>
      </w:pPr>
      <w:r>
        <w:fldChar w:fldCharType="end"/>
      </w:r>
    </w:p>
    <w:p>
      <w:pPr>
        <w:pStyle w:val="2"/>
        <w:spacing w:before="240" w:beforeLines="100" w:after="120"/>
        <w:ind w:left="0"/>
        <w:rPr>
          <w:rFonts w:eastAsia="宋体"/>
        </w:rPr>
      </w:pPr>
      <w:r>
        <w:rPr>
          <w:rFonts w:hint="eastAsia" w:eastAsia="宋体"/>
        </w:rPr>
        <w:t>Reference</w:t>
      </w:r>
      <w:r>
        <w:rPr>
          <w:rFonts w:eastAsia="宋体"/>
        </w:rPr>
        <w:t>s</w:t>
      </w:r>
    </w:p>
    <w:p>
      <w:pPr>
        <w:pStyle w:val="42"/>
        <w:spacing w:before="120" w:after="120"/>
        <w:rPr>
          <w:sz w:val="20"/>
          <w:szCs w:val="22"/>
        </w:rPr>
      </w:pPr>
      <w:r>
        <w:rPr>
          <w:rFonts w:hint="eastAsia"/>
          <w:sz w:val="20"/>
          <w:szCs w:val="20"/>
          <w:lang w:val="en-US" w:eastAsia="zh-CN"/>
        </w:rPr>
        <w:t>TS 38.213 g30</w:t>
      </w:r>
      <w:r>
        <w:rPr>
          <w:rFonts w:hint="eastAsia"/>
          <w:sz w:val="20"/>
          <w:szCs w:val="20"/>
        </w:rPr>
        <w:t>, "</w:t>
      </w:r>
      <w:r>
        <w:rPr>
          <w:rFonts w:hint="eastAsia"/>
        </w:rPr>
        <w:t>Physical layer procedures for control</w:t>
      </w:r>
      <w:r>
        <w:rPr>
          <w:sz w:val="20"/>
          <w:szCs w:val="20"/>
        </w:rPr>
        <w:t>"</w:t>
      </w:r>
    </w:p>
    <w:p>
      <w:pPr>
        <w:pStyle w:val="42"/>
        <w:spacing w:before="120" w:after="120"/>
        <w:rPr>
          <w:sz w:val="20"/>
          <w:szCs w:val="22"/>
        </w:rPr>
      </w:pPr>
      <w:r>
        <w:rPr>
          <w:rFonts w:hint="eastAsia"/>
          <w:sz w:val="20"/>
          <w:szCs w:val="20"/>
          <w:lang w:val="en-US" w:eastAsia="zh-CN"/>
        </w:rPr>
        <w:t>TS 38.214 g30</w:t>
      </w:r>
      <w:r>
        <w:rPr>
          <w:rFonts w:hint="eastAsia"/>
          <w:sz w:val="20"/>
          <w:szCs w:val="20"/>
        </w:rPr>
        <w:t>,"</w:t>
      </w:r>
      <w:r>
        <w:rPr>
          <w:rFonts w:hint="eastAsia"/>
        </w:rPr>
        <w:t>Physical layer procedures for data</w:t>
      </w:r>
      <w:r>
        <w:rPr>
          <w:sz w:val="20"/>
          <w:szCs w:val="20"/>
        </w:rPr>
        <w:t>"</w:t>
      </w:r>
    </w:p>
    <w:p>
      <w:pPr>
        <w:pStyle w:val="42"/>
        <w:numPr>
          <w:ilvl w:val="0"/>
          <w:numId w:val="0"/>
        </w:numPr>
        <w:spacing w:before="120" w:after="120"/>
        <w:rPr>
          <w:szCs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63136"/>
    </w:sdtPr>
    <w:sdtContent>
      <w:p>
        <w:pPr>
          <w:pStyle w:val="15"/>
          <w:spacing w:before="120" w:after="120"/>
          <w:jc w:val="center"/>
        </w:pPr>
        <w:r>
          <w:fldChar w:fldCharType="begin"/>
        </w:r>
        <w:r>
          <w:instrText xml:space="preserve"> PAGE   \* MERGEFORMAT </w:instrText>
        </w:r>
        <w:r>
          <w:fldChar w:fldCharType="separate"/>
        </w:r>
        <w:r>
          <w:t>5</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B10D59"/>
    <w:multiLevelType w:val="multilevel"/>
    <w:tmpl w:val="88B10D59"/>
    <w:lvl w:ilvl="0" w:tentative="0">
      <w:start w:val="1"/>
      <w:numFmt w:val="bullet"/>
      <w:pStyle w:val="72"/>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9CE8888F"/>
    <w:multiLevelType w:val="singleLevel"/>
    <w:tmpl w:val="9CE8888F"/>
    <w:lvl w:ilvl="0" w:tentative="0">
      <w:start w:val="1"/>
      <w:numFmt w:val="bullet"/>
      <w:pStyle w:val="71"/>
      <w:lvlText w:val="‒"/>
      <w:lvlJc w:val="left"/>
      <w:pPr>
        <w:ind w:left="420" w:hanging="420"/>
      </w:pPr>
      <w:rPr>
        <w:rFonts w:hint="default" w:ascii="Arial" w:hAnsi="Arial" w:cs="Arial"/>
      </w:rPr>
    </w:lvl>
  </w:abstractNum>
  <w:abstractNum w:abstractNumId="2">
    <w:nsid w:val="9E644241"/>
    <w:multiLevelType w:val="multilevel"/>
    <w:tmpl w:val="9E644241"/>
    <w:lvl w:ilvl="0" w:tentative="0">
      <w:start w:val="1"/>
      <w:numFmt w:val="bullet"/>
      <w:pStyle w:val="70"/>
      <w:lvlText w:val=""/>
      <w:lvlJc w:val="left"/>
      <w:pPr>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B34B193"/>
    <w:multiLevelType w:val="singleLevel"/>
    <w:tmpl w:val="AB34B193"/>
    <w:lvl w:ilvl="0" w:tentative="0">
      <w:start w:val="1"/>
      <w:numFmt w:val="decimal"/>
      <w:pStyle w:val="35"/>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B15F0BA4"/>
    <w:multiLevelType w:val="singleLevel"/>
    <w:tmpl w:val="B15F0BA4"/>
    <w:lvl w:ilvl="0" w:tentative="0">
      <w:start w:val="1"/>
      <w:numFmt w:val="bullet"/>
      <w:pStyle w:val="40"/>
      <w:lvlText w:val="-"/>
      <w:lvlJc w:val="left"/>
      <w:pPr>
        <w:ind w:left="420" w:hanging="420"/>
      </w:pPr>
      <w:rPr>
        <w:rFonts w:hint="default" w:ascii="Arial" w:hAnsi="Arial" w:cs="Arial"/>
      </w:rPr>
    </w:lvl>
  </w:abstractNum>
  <w:abstractNum w:abstractNumId="5">
    <w:nsid w:val="BD0CA652"/>
    <w:multiLevelType w:val="multilevel"/>
    <w:tmpl w:val="BD0CA652"/>
    <w:lvl w:ilvl="0" w:tentative="0">
      <w:start w:val="1"/>
      <w:numFmt w:val="decimal"/>
      <w:pStyle w:val="3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198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3A877D64"/>
    <w:multiLevelType w:val="singleLevel"/>
    <w:tmpl w:val="3A877D64"/>
    <w:lvl w:ilvl="0" w:tentative="0">
      <w:start w:val="1"/>
      <w:numFmt w:val="decimal"/>
      <w:pStyle w:val="42"/>
      <w:lvlText w:val="[%1]"/>
      <w:lvlJc w:val="left"/>
      <w:pPr>
        <w:tabs>
          <w:tab w:val="left" w:pos="360"/>
        </w:tabs>
        <w:ind w:left="360" w:hanging="360"/>
      </w:pPr>
    </w:lvl>
  </w:abstractNum>
  <w:abstractNum w:abstractNumId="8">
    <w:nsid w:val="3D854891"/>
    <w:multiLevelType w:val="multilevel"/>
    <w:tmpl w:val="3D8548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17F6AFB"/>
    <w:multiLevelType w:val="multilevel"/>
    <w:tmpl w:val="417F6AFB"/>
    <w:lvl w:ilvl="0" w:tentative="0">
      <w:start w:val="1"/>
      <w:numFmt w:val="bullet"/>
      <w:pStyle w:val="7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08BE803"/>
    <w:multiLevelType w:val="singleLevel"/>
    <w:tmpl w:val="508BE803"/>
    <w:lvl w:ilvl="0" w:tentative="0">
      <w:start w:val="1"/>
      <w:numFmt w:val="bullet"/>
      <w:pStyle w:val="41"/>
      <w:lvlText w:val="-"/>
      <w:lvlJc w:val="left"/>
      <w:pPr>
        <w:ind w:left="420" w:hanging="420"/>
      </w:pPr>
      <w:rPr>
        <w:rFonts w:hint="default" w:ascii="Arial" w:hAnsi="Arial" w:cs="Arial"/>
      </w:rPr>
    </w:lvl>
  </w:abstractNum>
  <w:abstractNum w:abstractNumId="11">
    <w:nsid w:val="6D7851A8"/>
    <w:multiLevelType w:val="multilevel"/>
    <w:tmpl w:val="6D7851A8"/>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ascii="宋体" w:hAnsi="宋体" w:eastAsia="宋体" w:cs="宋体"/>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2">
    <w:nsid w:val="7DC436CD"/>
    <w:multiLevelType w:val="singleLevel"/>
    <w:tmpl w:val="7DC436CD"/>
    <w:lvl w:ilvl="0" w:tentative="0">
      <w:start w:val="1"/>
      <w:numFmt w:val="bullet"/>
      <w:pStyle w:val="38"/>
      <w:lvlText w:val="•"/>
      <w:lvlJc w:val="left"/>
      <w:pPr>
        <w:tabs>
          <w:tab w:val="left" w:pos="420"/>
        </w:tabs>
        <w:ind w:left="420" w:hanging="378"/>
      </w:pPr>
      <w:rPr>
        <w:rFonts w:hint="default" w:ascii="Arial" w:hAnsi="Arial" w:cs="Arial"/>
      </w:rPr>
    </w:lvl>
  </w:abstractNum>
  <w:num w:numId="1">
    <w:abstractNumId w:val="6"/>
  </w:num>
  <w:num w:numId="2">
    <w:abstractNumId w:val="11"/>
  </w:num>
  <w:num w:numId="3">
    <w:abstractNumId w:val="3"/>
  </w:num>
  <w:num w:numId="4">
    <w:abstractNumId w:val="5"/>
  </w:num>
  <w:num w:numId="5">
    <w:abstractNumId w:val="12"/>
  </w:num>
  <w:num w:numId="6">
    <w:abstractNumId w:val="4"/>
  </w:num>
  <w:num w:numId="7">
    <w:abstractNumId w:val="10"/>
  </w:num>
  <w:num w:numId="8">
    <w:abstractNumId w:val="7"/>
  </w:num>
  <w:num w:numId="9">
    <w:abstractNumId w:val="2"/>
  </w:num>
  <w:num w:numId="10">
    <w:abstractNumId w:val="1"/>
  </w:num>
  <w:num w:numId="11">
    <w:abstractNumId w:val="0"/>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5FB3"/>
    <w:rsid w:val="00050AC0"/>
    <w:rsid w:val="000649FC"/>
    <w:rsid w:val="00065445"/>
    <w:rsid w:val="000702D5"/>
    <w:rsid w:val="0007451A"/>
    <w:rsid w:val="000B7C63"/>
    <w:rsid w:val="000C25C4"/>
    <w:rsid w:val="000D0AAC"/>
    <w:rsid w:val="00112A12"/>
    <w:rsid w:val="00133766"/>
    <w:rsid w:val="001514D2"/>
    <w:rsid w:val="0017131E"/>
    <w:rsid w:val="00172A27"/>
    <w:rsid w:val="001A1B80"/>
    <w:rsid w:val="001A6E50"/>
    <w:rsid w:val="001C2B43"/>
    <w:rsid w:val="001D1FDF"/>
    <w:rsid w:val="001D4228"/>
    <w:rsid w:val="001E4C37"/>
    <w:rsid w:val="001F5D44"/>
    <w:rsid w:val="002008F6"/>
    <w:rsid w:val="00204AD8"/>
    <w:rsid w:val="0021473E"/>
    <w:rsid w:val="002178E8"/>
    <w:rsid w:val="00236582"/>
    <w:rsid w:val="0024359C"/>
    <w:rsid w:val="00275244"/>
    <w:rsid w:val="0028726A"/>
    <w:rsid w:val="002917ED"/>
    <w:rsid w:val="00295F44"/>
    <w:rsid w:val="002A0DB2"/>
    <w:rsid w:val="002A54D0"/>
    <w:rsid w:val="002D19DD"/>
    <w:rsid w:val="002D1E11"/>
    <w:rsid w:val="002D69D7"/>
    <w:rsid w:val="002E0894"/>
    <w:rsid w:val="002F2B27"/>
    <w:rsid w:val="002F5F17"/>
    <w:rsid w:val="003177B3"/>
    <w:rsid w:val="00322823"/>
    <w:rsid w:val="003429BF"/>
    <w:rsid w:val="00353C3C"/>
    <w:rsid w:val="00367F86"/>
    <w:rsid w:val="003A04D0"/>
    <w:rsid w:val="003A4538"/>
    <w:rsid w:val="003B2E9E"/>
    <w:rsid w:val="003C08B6"/>
    <w:rsid w:val="003D046F"/>
    <w:rsid w:val="003F15A3"/>
    <w:rsid w:val="003F2C27"/>
    <w:rsid w:val="00433989"/>
    <w:rsid w:val="00441A72"/>
    <w:rsid w:val="004611E8"/>
    <w:rsid w:val="004656EF"/>
    <w:rsid w:val="00480339"/>
    <w:rsid w:val="004906BE"/>
    <w:rsid w:val="004A1BF3"/>
    <w:rsid w:val="004C4EBF"/>
    <w:rsid w:val="004C62F0"/>
    <w:rsid w:val="004D4CC8"/>
    <w:rsid w:val="005069CD"/>
    <w:rsid w:val="005119C9"/>
    <w:rsid w:val="00522A93"/>
    <w:rsid w:val="00532A0B"/>
    <w:rsid w:val="00544AEC"/>
    <w:rsid w:val="00551271"/>
    <w:rsid w:val="0055532D"/>
    <w:rsid w:val="00570A5D"/>
    <w:rsid w:val="005975D8"/>
    <w:rsid w:val="005A3B16"/>
    <w:rsid w:val="005A424D"/>
    <w:rsid w:val="005A7CAD"/>
    <w:rsid w:val="005B065E"/>
    <w:rsid w:val="005B2EEC"/>
    <w:rsid w:val="005D731D"/>
    <w:rsid w:val="005E04FC"/>
    <w:rsid w:val="005E56A8"/>
    <w:rsid w:val="00605591"/>
    <w:rsid w:val="006122F1"/>
    <w:rsid w:val="006311DE"/>
    <w:rsid w:val="0064676F"/>
    <w:rsid w:val="00647362"/>
    <w:rsid w:val="006D0364"/>
    <w:rsid w:val="006E3A77"/>
    <w:rsid w:val="006E72CB"/>
    <w:rsid w:val="00707D7B"/>
    <w:rsid w:val="00707F7D"/>
    <w:rsid w:val="00731257"/>
    <w:rsid w:val="007409AC"/>
    <w:rsid w:val="007430F0"/>
    <w:rsid w:val="00753482"/>
    <w:rsid w:val="007616B3"/>
    <w:rsid w:val="007665DF"/>
    <w:rsid w:val="00782C45"/>
    <w:rsid w:val="00793DE8"/>
    <w:rsid w:val="007D60F5"/>
    <w:rsid w:val="007E7E47"/>
    <w:rsid w:val="0082063A"/>
    <w:rsid w:val="00823733"/>
    <w:rsid w:val="00827DA4"/>
    <w:rsid w:val="00835D70"/>
    <w:rsid w:val="00854294"/>
    <w:rsid w:val="00870DB1"/>
    <w:rsid w:val="00870DFF"/>
    <w:rsid w:val="008761BA"/>
    <w:rsid w:val="00886871"/>
    <w:rsid w:val="008B4BC2"/>
    <w:rsid w:val="008B617D"/>
    <w:rsid w:val="008C3278"/>
    <w:rsid w:val="008D33DD"/>
    <w:rsid w:val="008F3CF5"/>
    <w:rsid w:val="00933B63"/>
    <w:rsid w:val="00934CD3"/>
    <w:rsid w:val="00934DFA"/>
    <w:rsid w:val="00944B58"/>
    <w:rsid w:val="0096044C"/>
    <w:rsid w:val="009815B6"/>
    <w:rsid w:val="00991147"/>
    <w:rsid w:val="009A1474"/>
    <w:rsid w:val="009A64D0"/>
    <w:rsid w:val="009C2786"/>
    <w:rsid w:val="009E031D"/>
    <w:rsid w:val="009E3240"/>
    <w:rsid w:val="00A03060"/>
    <w:rsid w:val="00A263F0"/>
    <w:rsid w:val="00A34E86"/>
    <w:rsid w:val="00A723C9"/>
    <w:rsid w:val="00A76BAC"/>
    <w:rsid w:val="00A80172"/>
    <w:rsid w:val="00AA19F0"/>
    <w:rsid w:val="00AB4FC3"/>
    <w:rsid w:val="00AB650C"/>
    <w:rsid w:val="00B174B8"/>
    <w:rsid w:val="00B2498F"/>
    <w:rsid w:val="00B525FE"/>
    <w:rsid w:val="00B5355A"/>
    <w:rsid w:val="00B62BBF"/>
    <w:rsid w:val="00B704A7"/>
    <w:rsid w:val="00B735C0"/>
    <w:rsid w:val="00BA48A8"/>
    <w:rsid w:val="00BB4B45"/>
    <w:rsid w:val="00BB584D"/>
    <w:rsid w:val="00BC561D"/>
    <w:rsid w:val="00BD2AD2"/>
    <w:rsid w:val="00C103EC"/>
    <w:rsid w:val="00C120EF"/>
    <w:rsid w:val="00C35DE5"/>
    <w:rsid w:val="00C443AB"/>
    <w:rsid w:val="00C47018"/>
    <w:rsid w:val="00C47817"/>
    <w:rsid w:val="00C511DD"/>
    <w:rsid w:val="00CA1F5F"/>
    <w:rsid w:val="00CD56DE"/>
    <w:rsid w:val="00D0156E"/>
    <w:rsid w:val="00D01991"/>
    <w:rsid w:val="00D25C8F"/>
    <w:rsid w:val="00D32624"/>
    <w:rsid w:val="00D63CDD"/>
    <w:rsid w:val="00D7028B"/>
    <w:rsid w:val="00D81CD6"/>
    <w:rsid w:val="00D9376D"/>
    <w:rsid w:val="00DA0C50"/>
    <w:rsid w:val="00DB12E2"/>
    <w:rsid w:val="00DC690E"/>
    <w:rsid w:val="00DE63C1"/>
    <w:rsid w:val="00DF1CE5"/>
    <w:rsid w:val="00E1434F"/>
    <w:rsid w:val="00E301E1"/>
    <w:rsid w:val="00E357CF"/>
    <w:rsid w:val="00E46ADC"/>
    <w:rsid w:val="00E47BFC"/>
    <w:rsid w:val="00E55F20"/>
    <w:rsid w:val="00E75A6C"/>
    <w:rsid w:val="00E76828"/>
    <w:rsid w:val="00EB1DF3"/>
    <w:rsid w:val="00EC0567"/>
    <w:rsid w:val="00EC2591"/>
    <w:rsid w:val="00EC3D3A"/>
    <w:rsid w:val="00ED1581"/>
    <w:rsid w:val="00EE23D7"/>
    <w:rsid w:val="00EE625A"/>
    <w:rsid w:val="00F17AD0"/>
    <w:rsid w:val="00F646A7"/>
    <w:rsid w:val="00F714EB"/>
    <w:rsid w:val="00F90E8A"/>
    <w:rsid w:val="00FB082A"/>
    <w:rsid w:val="00FB0E88"/>
    <w:rsid w:val="00FC685D"/>
    <w:rsid w:val="00FD2DE4"/>
    <w:rsid w:val="00FD5839"/>
    <w:rsid w:val="00FE58B1"/>
    <w:rsid w:val="00FF0993"/>
    <w:rsid w:val="01103AA3"/>
    <w:rsid w:val="01217670"/>
    <w:rsid w:val="01227B1F"/>
    <w:rsid w:val="012317B2"/>
    <w:rsid w:val="01665164"/>
    <w:rsid w:val="01764F01"/>
    <w:rsid w:val="0184754A"/>
    <w:rsid w:val="01860BB1"/>
    <w:rsid w:val="019913EF"/>
    <w:rsid w:val="01A24378"/>
    <w:rsid w:val="01A55B69"/>
    <w:rsid w:val="01BB204B"/>
    <w:rsid w:val="01CE4763"/>
    <w:rsid w:val="01E352BB"/>
    <w:rsid w:val="023F539C"/>
    <w:rsid w:val="024D6B6A"/>
    <w:rsid w:val="026873BA"/>
    <w:rsid w:val="029A7347"/>
    <w:rsid w:val="029B04E7"/>
    <w:rsid w:val="02A549AD"/>
    <w:rsid w:val="02AC0BB2"/>
    <w:rsid w:val="02BF0F67"/>
    <w:rsid w:val="02C40BAD"/>
    <w:rsid w:val="02CD7082"/>
    <w:rsid w:val="02EE40B6"/>
    <w:rsid w:val="03073BDC"/>
    <w:rsid w:val="033F44DC"/>
    <w:rsid w:val="035D2FE5"/>
    <w:rsid w:val="035F14F5"/>
    <w:rsid w:val="03681A60"/>
    <w:rsid w:val="03740550"/>
    <w:rsid w:val="038325C7"/>
    <w:rsid w:val="039275B3"/>
    <w:rsid w:val="03A27CD7"/>
    <w:rsid w:val="03AD0807"/>
    <w:rsid w:val="03AD4B1B"/>
    <w:rsid w:val="03B31F2F"/>
    <w:rsid w:val="03C15843"/>
    <w:rsid w:val="03E37A5C"/>
    <w:rsid w:val="03F07B4E"/>
    <w:rsid w:val="04024534"/>
    <w:rsid w:val="040925E4"/>
    <w:rsid w:val="041561AD"/>
    <w:rsid w:val="04225BC0"/>
    <w:rsid w:val="04411E48"/>
    <w:rsid w:val="04612204"/>
    <w:rsid w:val="04661FB8"/>
    <w:rsid w:val="04673CBD"/>
    <w:rsid w:val="0470492B"/>
    <w:rsid w:val="04853216"/>
    <w:rsid w:val="048940FA"/>
    <w:rsid w:val="04B87B15"/>
    <w:rsid w:val="051E44CC"/>
    <w:rsid w:val="0533703C"/>
    <w:rsid w:val="05351FF8"/>
    <w:rsid w:val="05543F52"/>
    <w:rsid w:val="0555228E"/>
    <w:rsid w:val="056B4B79"/>
    <w:rsid w:val="056E4474"/>
    <w:rsid w:val="05846AD8"/>
    <w:rsid w:val="058F59F9"/>
    <w:rsid w:val="059D1E39"/>
    <w:rsid w:val="05A278A8"/>
    <w:rsid w:val="05AE5B98"/>
    <w:rsid w:val="05C20451"/>
    <w:rsid w:val="05E078B3"/>
    <w:rsid w:val="05FC38BA"/>
    <w:rsid w:val="060B687E"/>
    <w:rsid w:val="062412A8"/>
    <w:rsid w:val="06467C83"/>
    <w:rsid w:val="064D3B37"/>
    <w:rsid w:val="06BE660D"/>
    <w:rsid w:val="06C021AF"/>
    <w:rsid w:val="06C54C67"/>
    <w:rsid w:val="06D02AE1"/>
    <w:rsid w:val="06D6577F"/>
    <w:rsid w:val="06DB273A"/>
    <w:rsid w:val="06E00FBA"/>
    <w:rsid w:val="06E46CC4"/>
    <w:rsid w:val="06F377CB"/>
    <w:rsid w:val="06F7201C"/>
    <w:rsid w:val="06FE3E6F"/>
    <w:rsid w:val="07062304"/>
    <w:rsid w:val="071D167C"/>
    <w:rsid w:val="07331384"/>
    <w:rsid w:val="073A47AF"/>
    <w:rsid w:val="076A1CDA"/>
    <w:rsid w:val="077D0583"/>
    <w:rsid w:val="077D2DBB"/>
    <w:rsid w:val="078A3DEA"/>
    <w:rsid w:val="078A4D2F"/>
    <w:rsid w:val="078D478E"/>
    <w:rsid w:val="079724D0"/>
    <w:rsid w:val="079A3D7A"/>
    <w:rsid w:val="079E23A9"/>
    <w:rsid w:val="07A0293A"/>
    <w:rsid w:val="07BB7A5F"/>
    <w:rsid w:val="07C64F6B"/>
    <w:rsid w:val="07C82A90"/>
    <w:rsid w:val="07F943A6"/>
    <w:rsid w:val="082A352F"/>
    <w:rsid w:val="08951C6F"/>
    <w:rsid w:val="08A55ED7"/>
    <w:rsid w:val="08AE18DA"/>
    <w:rsid w:val="08B32E10"/>
    <w:rsid w:val="08B46AB0"/>
    <w:rsid w:val="08C349D1"/>
    <w:rsid w:val="08C95A36"/>
    <w:rsid w:val="08D147B4"/>
    <w:rsid w:val="08DE7D8E"/>
    <w:rsid w:val="09354BDA"/>
    <w:rsid w:val="093B21F3"/>
    <w:rsid w:val="09416FCB"/>
    <w:rsid w:val="094B489C"/>
    <w:rsid w:val="096952A6"/>
    <w:rsid w:val="096E0747"/>
    <w:rsid w:val="09972C4E"/>
    <w:rsid w:val="099A4C25"/>
    <w:rsid w:val="09B9358C"/>
    <w:rsid w:val="09C767F5"/>
    <w:rsid w:val="09F50A8A"/>
    <w:rsid w:val="09F67CD5"/>
    <w:rsid w:val="0A1C4D5C"/>
    <w:rsid w:val="0A1E0BD1"/>
    <w:rsid w:val="0A2A3B5C"/>
    <w:rsid w:val="0A3E099E"/>
    <w:rsid w:val="0A5B4BFD"/>
    <w:rsid w:val="0A6A77E1"/>
    <w:rsid w:val="0A885245"/>
    <w:rsid w:val="0A946389"/>
    <w:rsid w:val="0AA14055"/>
    <w:rsid w:val="0AA33615"/>
    <w:rsid w:val="0AAE4D33"/>
    <w:rsid w:val="0ACD4633"/>
    <w:rsid w:val="0AD0416B"/>
    <w:rsid w:val="0AE63BD0"/>
    <w:rsid w:val="0AEA7216"/>
    <w:rsid w:val="0AEC10C9"/>
    <w:rsid w:val="0B026A66"/>
    <w:rsid w:val="0B0D19F0"/>
    <w:rsid w:val="0B2E74D2"/>
    <w:rsid w:val="0B38410B"/>
    <w:rsid w:val="0B3A0F35"/>
    <w:rsid w:val="0B4579B5"/>
    <w:rsid w:val="0B601738"/>
    <w:rsid w:val="0B697B13"/>
    <w:rsid w:val="0B702289"/>
    <w:rsid w:val="0B732094"/>
    <w:rsid w:val="0B870DDB"/>
    <w:rsid w:val="0B884441"/>
    <w:rsid w:val="0B8F54B6"/>
    <w:rsid w:val="0B9E71DF"/>
    <w:rsid w:val="0BAE65DC"/>
    <w:rsid w:val="0BB04D20"/>
    <w:rsid w:val="0BC44ECE"/>
    <w:rsid w:val="0BE80DC0"/>
    <w:rsid w:val="0C1C4A11"/>
    <w:rsid w:val="0C353C36"/>
    <w:rsid w:val="0C541271"/>
    <w:rsid w:val="0C5542DA"/>
    <w:rsid w:val="0C805AE8"/>
    <w:rsid w:val="0C900C57"/>
    <w:rsid w:val="0C9D30C2"/>
    <w:rsid w:val="0CA337A8"/>
    <w:rsid w:val="0CAB76A6"/>
    <w:rsid w:val="0CAF63F1"/>
    <w:rsid w:val="0CB11A4E"/>
    <w:rsid w:val="0CB515B3"/>
    <w:rsid w:val="0CBF1554"/>
    <w:rsid w:val="0CC751D8"/>
    <w:rsid w:val="0CE55E9B"/>
    <w:rsid w:val="0CF256E5"/>
    <w:rsid w:val="0CF52A69"/>
    <w:rsid w:val="0D0F6620"/>
    <w:rsid w:val="0D167A71"/>
    <w:rsid w:val="0D297F0F"/>
    <w:rsid w:val="0D3C11FA"/>
    <w:rsid w:val="0D5F1F8B"/>
    <w:rsid w:val="0D63705D"/>
    <w:rsid w:val="0D6800B5"/>
    <w:rsid w:val="0D784804"/>
    <w:rsid w:val="0D8E611F"/>
    <w:rsid w:val="0D8F0F22"/>
    <w:rsid w:val="0DAF5B32"/>
    <w:rsid w:val="0DB6345E"/>
    <w:rsid w:val="0DBA44CC"/>
    <w:rsid w:val="0DCD3EA6"/>
    <w:rsid w:val="0DD44575"/>
    <w:rsid w:val="0DFE23D8"/>
    <w:rsid w:val="0E0708CF"/>
    <w:rsid w:val="0E172BD0"/>
    <w:rsid w:val="0E376449"/>
    <w:rsid w:val="0E4233EA"/>
    <w:rsid w:val="0E45278A"/>
    <w:rsid w:val="0E8072D9"/>
    <w:rsid w:val="0EC91836"/>
    <w:rsid w:val="0EC96BBA"/>
    <w:rsid w:val="0ECE2C72"/>
    <w:rsid w:val="0ED47139"/>
    <w:rsid w:val="0EDA1A8F"/>
    <w:rsid w:val="0EFA47AE"/>
    <w:rsid w:val="0F093F37"/>
    <w:rsid w:val="0F1E32C1"/>
    <w:rsid w:val="0F2A2783"/>
    <w:rsid w:val="0F310742"/>
    <w:rsid w:val="0F4560F4"/>
    <w:rsid w:val="0F5D79E5"/>
    <w:rsid w:val="0F63585D"/>
    <w:rsid w:val="0F69111E"/>
    <w:rsid w:val="0F8C30DD"/>
    <w:rsid w:val="0F976AD1"/>
    <w:rsid w:val="0FAB5683"/>
    <w:rsid w:val="0FC53CE1"/>
    <w:rsid w:val="0FE64FD3"/>
    <w:rsid w:val="0FED2D34"/>
    <w:rsid w:val="10120F72"/>
    <w:rsid w:val="101A651C"/>
    <w:rsid w:val="102B1D21"/>
    <w:rsid w:val="10615677"/>
    <w:rsid w:val="106729F0"/>
    <w:rsid w:val="10765BAF"/>
    <w:rsid w:val="10770D42"/>
    <w:rsid w:val="107E77F5"/>
    <w:rsid w:val="10803E0E"/>
    <w:rsid w:val="108B537F"/>
    <w:rsid w:val="10A36FD2"/>
    <w:rsid w:val="10A50104"/>
    <w:rsid w:val="10C22803"/>
    <w:rsid w:val="10C526A4"/>
    <w:rsid w:val="10E40B4A"/>
    <w:rsid w:val="10E6777E"/>
    <w:rsid w:val="10E72568"/>
    <w:rsid w:val="10EF0CA4"/>
    <w:rsid w:val="10F75CAB"/>
    <w:rsid w:val="10FE1A62"/>
    <w:rsid w:val="1105468F"/>
    <w:rsid w:val="114D7EB1"/>
    <w:rsid w:val="115B3410"/>
    <w:rsid w:val="1172719F"/>
    <w:rsid w:val="1178575E"/>
    <w:rsid w:val="119229B8"/>
    <w:rsid w:val="119615A5"/>
    <w:rsid w:val="119D7849"/>
    <w:rsid w:val="11B23F7A"/>
    <w:rsid w:val="11B52C4F"/>
    <w:rsid w:val="11FD026E"/>
    <w:rsid w:val="121248A4"/>
    <w:rsid w:val="12175B17"/>
    <w:rsid w:val="121E5C47"/>
    <w:rsid w:val="1242135C"/>
    <w:rsid w:val="12671275"/>
    <w:rsid w:val="127565D6"/>
    <w:rsid w:val="12944E75"/>
    <w:rsid w:val="12B945C1"/>
    <w:rsid w:val="12BF1B27"/>
    <w:rsid w:val="12CE27C7"/>
    <w:rsid w:val="12EA4956"/>
    <w:rsid w:val="12EC49D1"/>
    <w:rsid w:val="13027714"/>
    <w:rsid w:val="13102311"/>
    <w:rsid w:val="1316065F"/>
    <w:rsid w:val="13193902"/>
    <w:rsid w:val="132F5EBF"/>
    <w:rsid w:val="134763A4"/>
    <w:rsid w:val="1350063D"/>
    <w:rsid w:val="136019A1"/>
    <w:rsid w:val="13693850"/>
    <w:rsid w:val="136D39D5"/>
    <w:rsid w:val="1372544F"/>
    <w:rsid w:val="13797AD8"/>
    <w:rsid w:val="137C6765"/>
    <w:rsid w:val="138802B4"/>
    <w:rsid w:val="1389040E"/>
    <w:rsid w:val="138F18CE"/>
    <w:rsid w:val="139E0A9C"/>
    <w:rsid w:val="139F2F93"/>
    <w:rsid w:val="13A1683F"/>
    <w:rsid w:val="13AE5627"/>
    <w:rsid w:val="13EE551F"/>
    <w:rsid w:val="13F933B7"/>
    <w:rsid w:val="13FF7634"/>
    <w:rsid w:val="142270F2"/>
    <w:rsid w:val="143B2D27"/>
    <w:rsid w:val="1440052D"/>
    <w:rsid w:val="14454E0C"/>
    <w:rsid w:val="14694A82"/>
    <w:rsid w:val="146C3246"/>
    <w:rsid w:val="14865354"/>
    <w:rsid w:val="14995105"/>
    <w:rsid w:val="149A0294"/>
    <w:rsid w:val="14A327A9"/>
    <w:rsid w:val="14A84941"/>
    <w:rsid w:val="14AE4880"/>
    <w:rsid w:val="14B8647F"/>
    <w:rsid w:val="14C0599D"/>
    <w:rsid w:val="14DA3DA1"/>
    <w:rsid w:val="14EE699D"/>
    <w:rsid w:val="150D787E"/>
    <w:rsid w:val="151913F2"/>
    <w:rsid w:val="15196D76"/>
    <w:rsid w:val="151B6169"/>
    <w:rsid w:val="151E4FE5"/>
    <w:rsid w:val="153C79B1"/>
    <w:rsid w:val="154178EA"/>
    <w:rsid w:val="15453737"/>
    <w:rsid w:val="15471188"/>
    <w:rsid w:val="155611D7"/>
    <w:rsid w:val="15685170"/>
    <w:rsid w:val="156D39A5"/>
    <w:rsid w:val="15820826"/>
    <w:rsid w:val="15970CB0"/>
    <w:rsid w:val="15A33344"/>
    <w:rsid w:val="15A65A72"/>
    <w:rsid w:val="15A860C1"/>
    <w:rsid w:val="15BC2DFB"/>
    <w:rsid w:val="15DC4D4B"/>
    <w:rsid w:val="15F634EC"/>
    <w:rsid w:val="15FF2B36"/>
    <w:rsid w:val="16465B94"/>
    <w:rsid w:val="166C03F1"/>
    <w:rsid w:val="16786271"/>
    <w:rsid w:val="168B40B5"/>
    <w:rsid w:val="169D4D00"/>
    <w:rsid w:val="16BB6ECC"/>
    <w:rsid w:val="16BE13E9"/>
    <w:rsid w:val="16BF15E6"/>
    <w:rsid w:val="16C96059"/>
    <w:rsid w:val="16CB1094"/>
    <w:rsid w:val="16DC6989"/>
    <w:rsid w:val="16ED6FC2"/>
    <w:rsid w:val="16FB5F3B"/>
    <w:rsid w:val="17155857"/>
    <w:rsid w:val="171A3DA7"/>
    <w:rsid w:val="17356168"/>
    <w:rsid w:val="17950508"/>
    <w:rsid w:val="17961C3A"/>
    <w:rsid w:val="17C0015C"/>
    <w:rsid w:val="17C37718"/>
    <w:rsid w:val="17D007B6"/>
    <w:rsid w:val="17F736CF"/>
    <w:rsid w:val="17FF28A5"/>
    <w:rsid w:val="182D792A"/>
    <w:rsid w:val="18315770"/>
    <w:rsid w:val="18436CB6"/>
    <w:rsid w:val="184515A4"/>
    <w:rsid w:val="1880212F"/>
    <w:rsid w:val="1886622E"/>
    <w:rsid w:val="18866639"/>
    <w:rsid w:val="189F63F4"/>
    <w:rsid w:val="18D86318"/>
    <w:rsid w:val="18D91AEE"/>
    <w:rsid w:val="18D97A48"/>
    <w:rsid w:val="18E51682"/>
    <w:rsid w:val="18F036E9"/>
    <w:rsid w:val="18FF6447"/>
    <w:rsid w:val="19010C43"/>
    <w:rsid w:val="19084C73"/>
    <w:rsid w:val="190A7D2B"/>
    <w:rsid w:val="19157358"/>
    <w:rsid w:val="19201A32"/>
    <w:rsid w:val="195B5D27"/>
    <w:rsid w:val="1960689B"/>
    <w:rsid w:val="197617A6"/>
    <w:rsid w:val="19870070"/>
    <w:rsid w:val="19C94E1D"/>
    <w:rsid w:val="19CF641B"/>
    <w:rsid w:val="19F87860"/>
    <w:rsid w:val="1A054259"/>
    <w:rsid w:val="1A102E55"/>
    <w:rsid w:val="1A1A78D7"/>
    <w:rsid w:val="1A1C2954"/>
    <w:rsid w:val="1A296717"/>
    <w:rsid w:val="1A312D4A"/>
    <w:rsid w:val="1A5036C5"/>
    <w:rsid w:val="1A57383A"/>
    <w:rsid w:val="1A72421B"/>
    <w:rsid w:val="1A747475"/>
    <w:rsid w:val="1A76362A"/>
    <w:rsid w:val="1A7C6CE7"/>
    <w:rsid w:val="1A9F0DB5"/>
    <w:rsid w:val="1AEF6676"/>
    <w:rsid w:val="1AFB32C8"/>
    <w:rsid w:val="1B296654"/>
    <w:rsid w:val="1B2A13FB"/>
    <w:rsid w:val="1B2B481C"/>
    <w:rsid w:val="1B5F1F36"/>
    <w:rsid w:val="1B7F6005"/>
    <w:rsid w:val="1B83264C"/>
    <w:rsid w:val="1B8B76CA"/>
    <w:rsid w:val="1B9759F0"/>
    <w:rsid w:val="1BBC2908"/>
    <w:rsid w:val="1BCF444F"/>
    <w:rsid w:val="1BDF4AB1"/>
    <w:rsid w:val="1C132CB9"/>
    <w:rsid w:val="1C1C37E4"/>
    <w:rsid w:val="1C504281"/>
    <w:rsid w:val="1C5E342A"/>
    <w:rsid w:val="1C6841E5"/>
    <w:rsid w:val="1C795227"/>
    <w:rsid w:val="1C7A5341"/>
    <w:rsid w:val="1CA9217C"/>
    <w:rsid w:val="1CBC1F49"/>
    <w:rsid w:val="1CBF79EF"/>
    <w:rsid w:val="1CCC26CA"/>
    <w:rsid w:val="1CD03D8E"/>
    <w:rsid w:val="1CD14BF8"/>
    <w:rsid w:val="1CDD1467"/>
    <w:rsid w:val="1D172E57"/>
    <w:rsid w:val="1D284B89"/>
    <w:rsid w:val="1D661F48"/>
    <w:rsid w:val="1D6A2638"/>
    <w:rsid w:val="1D8C7039"/>
    <w:rsid w:val="1D9B47A7"/>
    <w:rsid w:val="1DC61501"/>
    <w:rsid w:val="1DD7630C"/>
    <w:rsid w:val="1DE66FDA"/>
    <w:rsid w:val="1DF776F9"/>
    <w:rsid w:val="1E0D29A3"/>
    <w:rsid w:val="1E273254"/>
    <w:rsid w:val="1E285EA9"/>
    <w:rsid w:val="1E385296"/>
    <w:rsid w:val="1E40264C"/>
    <w:rsid w:val="1E477675"/>
    <w:rsid w:val="1E5D0976"/>
    <w:rsid w:val="1E6A7D3E"/>
    <w:rsid w:val="1E6D634B"/>
    <w:rsid w:val="1E9D6342"/>
    <w:rsid w:val="1EA97B92"/>
    <w:rsid w:val="1EAD27B4"/>
    <w:rsid w:val="1EBE03CF"/>
    <w:rsid w:val="1ECD1E7C"/>
    <w:rsid w:val="1EE8230A"/>
    <w:rsid w:val="1EED2D0F"/>
    <w:rsid w:val="1EF73789"/>
    <w:rsid w:val="1EF87710"/>
    <w:rsid w:val="1EFF498A"/>
    <w:rsid w:val="1F124C1C"/>
    <w:rsid w:val="1F323B10"/>
    <w:rsid w:val="1F3A33B7"/>
    <w:rsid w:val="1F3F4D76"/>
    <w:rsid w:val="1F44338C"/>
    <w:rsid w:val="1F575BA8"/>
    <w:rsid w:val="1F740D19"/>
    <w:rsid w:val="1F815E99"/>
    <w:rsid w:val="1FA03ABC"/>
    <w:rsid w:val="1FB9295C"/>
    <w:rsid w:val="1FBC5E79"/>
    <w:rsid w:val="1FC86A1B"/>
    <w:rsid w:val="1FCB6CFE"/>
    <w:rsid w:val="1FD563CF"/>
    <w:rsid w:val="1FEE796A"/>
    <w:rsid w:val="1FFA7ECD"/>
    <w:rsid w:val="20016AF2"/>
    <w:rsid w:val="20070D96"/>
    <w:rsid w:val="20124C3F"/>
    <w:rsid w:val="20187D75"/>
    <w:rsid w:val="203D2CE4"/>
    <w:rsid w:val="204E6676"/>
    <w:rsid w:val="20504E37"/>
    <w:rsid w:val="205D1519"/>
    <w:rsid w:val="207671D3"/>
    <w:rsid w:val="209C281D"/>
    <w:rsid w:val="20A04203"/>
    <w:rsid w:val="20AA48CD"/>
    <w:rsid w:val="20E51BCA"/>
    <w:rsid w:val="20EF7D08"/>
    <w:rsid w:val="20F75A90"/>
    <w:rsid w:val="210C40D4"/>
    <w:rsid w:val="210E7B46"/>
    <w:rsid w:val="211E223C"/>
    <w:rsid w:val="21227248"/>
    <w:rsid w:val="21247254"/>
    <w:rsid w:val="212708C7"/>
    <w:rsid w:val="212D37D3"/>
    <w:rsid w:val="2131251A"/>
    <w:rsid w:val="21325E57"/>
    <w:rsid w:val="21383BD2"/>
    <w:rsid w:val="21407F52"/>
    <w:rsid w:val="215362FD"/>
    <w:rsid w:val="216C0567"/>
    <w:rsid w:val="217B0B90"/>
    <w:rsid w:val="217F33D3"/>
    <w:rsid w:val="2195668B"/>
    <w:rsid w:val="21B94AFB"/>
    <w:rsid w:val="21BE5AD4"/>
    <w:rsid w:val="21CB76AA"/>
    <w:rsid w:val="21D61543"/>
    <w:rsid w:val="21DE6E07"/>
    <w:rsid w:val="21E22F39"/>
    <w:rsid w:val="2207503E"/>
    <w:rsid w:val="22193EB0"/>
    <w:rsid w:val="221A59B9"/>
    <w:rsid w:val="222411B3"/>
    <w:rsid w:val="222F6AD7"/>
    <w:rsid w:val="22344B8C"/>
    <w:rsid w:val="22391784"/>
    <w:rsid w:val="224B31E3"/>
    <w:rsid w:val="22504B71"/>
    <w:rsid w:val="225E0EAB"/>
    <w:rsid w:val="225E6D36"/>
    <w:rsid w:val="227F7D49"/>
    <w:rsid w:val="22812C37"/>
    <w:rsid w:val="22A400B4"/>
    <w:rsid w:val="22DC68C8"/>
    <w:rsid w:val="22E5633B"/>
    <w:rsid w:val="23081A49"/>
    <w:rsid w:val="230C420C"/>
    <w:rsid w:val="23173738"/>
    <w:rsid w:val="23226B36"/>
    <w:rsid w:val="23252291"/>
    <w:rsid w:val="232F6CEE"/>
    <w:rsid w:val="233427B8"/>
    <w:rsid w:val="2337100A"/>
    <w:rsid w:val="2367600F"/>
    <w:rsid w:val="2370551B"/>
    <w:rsid w:val="237D7407"/>
    <w:rsid w:val="2380071D"/>
    <w:rsid w:val="23821640"/>
    <w:rsid w:val="239207E0"/>
    <w:rsid w:val="239B53D3"/>
    <w:rsid w:val="23A3068E"/>
    <w:rsid w:val="23D26439"/>
    <w:rsid w:val="23FE000F"/>
    <w:rsid w:val="240A50F9"/>
    <w:rsid w:val="241B144A"/>
    <w:rsid w:val="241F451E"/>
    <w:rsid w:val="242930CA"/>
    <w:rsid w:val="2431068B"/>
    <w:rsid w:val="2438659C"/>
    <w:rsid w:val="243B1C84"/>
    <w:rsid w:val="243E0814"/>
    <w:rsid w:val="24565A62"/>
    <w:rsid w:val="245C52F8"/>
    <w:rsid w:val="2463385E"/>
    <w:rsid w:val="24764112"/>
    <w:rsid w:val="247C3380"/>
    <w:rsid w:val="24803C7F"/>
    <w:rsid w:val="24843033"/>
    <w:rsid w:val="24A03212"/>
    <w:rsid w:val="24A46BA9"/>
    <w:rsid w:val="24B3198C"/>
    <w:rsid w:val="24D91AAD"/>
    <w:rsid w:val="24DF2713"/>
    <w:rsid w:val="24E170AA"/>
    <w:rsid w:val="24E962A2"/>
    <w:rsid w:val="24F023E3"/>
    <w:rsid w:val="24F21BC4"/>
    <w:rsid w:val="24F50E15"/>
    <w:rsid w:val="24F52640"/>
    <w:rsid w:val="24FD4918"/>
    <w:rsid w:val="250B2026"/>
    <w:rsid w:val="250D568B"/>
    <w:rsid w:val="25134332"/>
    <w:rsid w:val="251A5CB7"/>
    <w:rsid w:val="2549443D"/>
    <w:rsid w:val="25587A3B"/>
    <w:rsid w:val="256C079A"/>
    <w:rsid w:val="256C393B"/>
    <w:rsid w:val="257E508F"/>
    <w:rsid w:val="25A124E5"/>
    <w:rsid w:val="25C03008"/>
    <w:rsid w:val="25D7064A"/>
    <w:rsid w:val="25DA0EE9"/>
    <w:rsid w:val="25E42B08"/>
    <w:rsid w:val="25E506CA"/>
    <w:rsid w:val="25F23CAF"/>
    <w:rsid w:val="26251DF2"/>
    <w:rsid w:val="26327BC1"/>
    <w:rsid w:val="264E33C9"/>
    <w:rsid w:val="267C2BA3"/>
    <w:rsid w:val="26852FB9"/>
    <w:rsid w:val="26A500D0"/>
    <w:rsid w:val="26BF5712"/>
    <w:rsid w:val="26D757D2"/>
    <w:rsid w:val="26DD3882"/>
    <w:rsid w:val="271945BE"/>
    <w:rsid w:val="27263DA2"/>
    <w:rsid w:val="273024E2"/>
    <w:rsid w:val="27353B7E"/>
    <w:rsid w:val="27385E06"/>
    <w:rsid w:val="273B7B11"/>
    <w:rsid w:val="274C4BE4"/>
    <w:rsid w:val="277205F3"/>
    <w:rsid w:val="27744EBE"/>
    <w:rsid w:val="27AB7429"/>
    <w:rsid w:val="27BD36D4"/>
    <w:rsid w:val="27D46B0A"/>
    <w:rsid w:val="27FE16B9"/>
    <w:rsid w:val="2803130A"/>
    <w:rsid w:val="280C54B7"/>
    <w:rsid w:val="281D5953"/>
    <w:rsid w:val="28265267"/>
    <w:rsid w:val="28493154"/>
    <w:rsid w:val="285C053E"/>
    <w:rsid w:val="285C3271"/>
    <w:rsid w:val="28820FF5"/>
    <w:rsid w:val="289426CD"/>
    <w:rsid w:val="289A46EC"/>
    <w:rsid w:val="28A630E5"/>
    <w:rsid w:val="28B11566"/>
    <w:rsid w:val="28D12474"/>
    <w:rsid w:val="29292174"/>
    <w:rsid w:val="29376DA2"/>
    <w:rsid w:val="29546B22"/>
    <w:rsid w:val="295C2339"/>
    <w:rsid w:val="297A484B"/>
    <w:rsid w:val="297C34D1"/>
    <w:rsid w:val="29AB0EA7"/>
    <w:rsid w:val="29CE1214"/>
    <w:rsid w:val="29D1278E"/>
    <w:rsid w:val="29E6658A"/>
    <w:rsid w:val="29EA6437"/>
    <w:rsid w:val="29FA7F26"/>
    <w:rsid w:val="2A0D5A73"/>
    <w:rsid w:val="2A271B15"/>
    <w:rsid w:val="2A2E0F3B"/>
    <w:rsid w:val="2A517669"/>
    <w:rsid w:val="2A5C72D3"/>
    <w:rsid w:val="2A717471"/>
    <w:rsid w:val="2A733A3C"/>
    <w:rsid w:val="2A7D42E2"/>
    <w:rsid w:val="2A846944"/>
    <w:rsid w:val="2AB2346A"/>
    <w:rsid w:val="2AC47DA0"/>
    <w:rsid w:val="2AC959AA"/>
    <w:rsid w:val="2ACE0112"/>
    <w:rsid w:val="2ACF1E68"/>
    <w:rsid w:val="2AE10E7D"/>
    <w:rsid w:val="2AFE074F"/>
    <w:rsid w:val="2B135CD1"/>
    <w:rsid w:val="2B1B2FDD"/>
    <w:rsid w:val="2B30302A"/>
    <w:rsid w:val="2B3C1D56"/>
    <w:rsid w:val="2B505571"/>
    <w:rsid w:val="2B597173"/>
    <w:rsid w:val="2B5D402D"/>
    <w:rsid w:val="2B5D7E39"/>
    <w:rsid w:val="2B695F51"/>
    <w:rsid w:val="2B774832"/>
    <w:rsid w:val="2B883015"/>
    <w:rsid w:val="2B8B50DE"/>
    <w:rsid w:val="2BA01FD0"/>
    <w:rsid w:val="2BA812A0"/>
    <w:rsid w:val="2BA96248"/>
    <w:rsid w:val="2BB36A97"/>
    <w:rsid w:val="2BBF13E1"/>
    <w:rsid w:val="2BC036B9"/>
    <w:rsid w:val="2BD915AB"/>
    <w:rsid w:val="2C2E03A4"/>
    <w:rsid w:val="2C3C0810"/>
    <w:rsid w:val="2C40339C"/>
    <w:rsid w:val="2C4F5542"/>
    <w:rsid w:val="2C510566"/>
    <w:rsid w:val="2C592A41"/>
    <w:rsid w:val="2C616146"/>
    <w:rsid w:val="2C6A0806"/>
    <w:rsid w:val="2C8533BD"/>
    <w:rsid w:val="2C863BDD"/>
    <w:rsid w:val="2C8D4DF2"/>
    <w:rsid w:val="2C923064"/>
    <w:rsid w:val="2C964617"/>
    <w:rsid w:val="2CA323CA"/>
    <w:rsid w:val="2CBA48B4"/>
    <w:rsid w:val="2CCF276F"/>
    <w:rsid w:val="2D2D322C"/>
    <w:rsid w:val="2D442F9B"/>
    <w:rsid w:val="2D4E2CBD"/>
    <w:rsid w:val="2D55663C"/>
    <w:rsid w:val="2D5C5124"/>
    <w:rsid w:val="2D645D1D"/>
    <w:rsid w:val="2D9908AC"/>
    <w:rsid w:val="2D9A5CCB"/>
    <w:rsid w:val="2D9E1072"/>
    <w:rsid w:val="2D9F4802"/>
    <w:rsid w:val="2DA11379"/>
    <w:rsid w:val="2DAF2D8F"/>
    <w:rsid w:val="2DCC7592"/>
    <w:rsid w:val="2DCF7C84"/>
    <w:rsid w:val="2DD3600D"/>
    <w:rsid w:val="2DD606C1"/>
    <w:rsid w:val="2E0A3C47"/>
    <w:rsid w:val="2E0C5031"/>
    <w:rsid w:val="2E0E5AEE"/>
    <w:rsid w:val="2E4B2A44"/>
    <w:rsid w:val="2E642A90"/>
    <w:rsid w:val="2E703CC2"/>
    <w:rsid w:val="2E7E6696"/>
    <w:rsid w:val="2E9B5E4D"/>
    <w:rsid w:val="2EAB7C4D"/>
    <w:rsid w:val="2EC10058"/>
    <w:rsid w:val="2EE11BBB"/>
    <w:rsid w:val="2EF26E54"/>
    <w:rsid w:val="2EF33FAA"/>
    <w:rsid w:val="2F1251F2"/>
    <w:rsid w:val="2F164D03"/>
    <w:rsid w:val="2F3F16E6"/>
    <w:rsid w:val="2F4041C5"/>
    <w:rsid w:val="2F527C47"/>
    <w:rsid w:val="2F697A4F"/>
    <w:rsid w:val="2F763010"/>
    <w:rsid w:val="2F9C53EF"/>
    <w:rsid w:val="2FA43556"/>
    <w:rsid w:val="2FAD456A"/>
    <w:rsid w:val="2FD85106"/>
    <w:rsid w:val="2FE14575"/>
    <w:rsid w:val="2FF01349"/>
    <w:rsid w:val="2FF35C7F"/>
    <w:rsid w:val="30094411"/>
    <w:rsid w:val="300C3127"/>
    <w:rsid w:val="30114F70"/>
    <w:rsid w:val="30264CAA"/>
    <w:rsid w:val="30306BD4"/>
    <w:rsid w:val="304630C2"/>
    <w:rsid w:val="30757753"/>
    <w:rsid w:val="308B3CDA"/>
    <w:rsid w:val="30962F3E"/>
    <w:rsid w:val="30972273"/>
    <w:rsid w:val="309D5D58"/>
    <w:rsid w:val="30AF6C0C"/>
    <w:rsid w:val="30C73B9C"/>
    <w:rsid w:val="30CF27EA"/>
    <w:rsid w:val="30D17E68"/>
    <w:rsid w:val="30D23C7C"/>
    <w:rsid w:val="30DD0B04"/>
    <w:rsid w:val="30FF2795"/>
    <w:rsid w:val="3104005C"/>
    <w:rsid w:val="31041101"/>
    <w:rsid w:val="310D2A9F"/>
    <w:rsid w:val="31251DA6"/>
    <w:rsid w:val="31290406"/>
    <w:rsid w:val="31304861"/>
    <w:rsid w:val="31535815"/>
    <w:rsid w:val="31626288"/>
    <w:rsid w:val="3172263C"/>
    <w:rsid w:val="31850119"/>
    <w:rsid w:val="31915735"/>
    <w:rsid w:val="319F05D1"/>
    <w:rsid w:val="31AC7BC5"/>
    <w:rsid w:val="31BA37C1"/>
    <w:rsid w:val="31C749B0"/>
    <w:rsid w:val="31D35733"/>
    <w:rsid w:val="31EC4388"/>
    <w:rsid w:val="31F612AA"/>
    <w:rsid w:val="32052414"/>
    <w:rsid w:val="320C70A5"/>
    <w:rsid w:val="32340B34"/>
    <w:rsid w:val="3236351A"/>
    <w:rsid w:val="323D7E1C"/>
    <w:rsid w:val="32470D46"/>
    <w:rsid w:val="32492F0E"/>
    <w:rsid w:val="3249317D"/>
    <w:rsid w:val="324F67AA"/>
    <w:rsid w:val="325F1B4B"/>
    <w:rsid w:val="325F2732"/>
    <w:rsid w:val="32824176"/>
    <w:rsid w:val="328B775D"/>
    <w:rsid w:val="329A6ACE"/>
    <w:rsid w:val="329F03DF"/>
    <w:rsid w:val="32A06931"/>
    <w:rsid w:val="32C71585"/>
    <w:rsid w:val="32DA4D50"/>
    <w:rsid w:val="32E567A7"/>
    <w:rsid w:val="33025EC1"/>
    <w:rsid w:val="333C1063"/>
    <w:rsid w:val="333D008E"/>
    <w:rsid w:val="33500517"/>
    <w:rsid w:val="33642E46"/>
    <w:rsid w:val="33797245"/>
    <w:rsid w:val="337D5E43"/>
    <w:rsid w:val="33874137"/>
    <w:rsid w:val="33AC4F0F"/>
    <w:rsid w:val="33B63187"/>
    <w:rsid w:val="33C06263"/>
    <w:rsid w:val="34163C77"/>
    <w:rsid w:val="341C3246"/>
    <w:rsid w:val="34362B69"/>
    <w:rsid w:val="3439569D"/>
    <w:rsid w:val="34504638"/>
    <w:rsid w:val="34786487"/>
    <w:rsid w:val="34894D9C"/>
    <w:rsid w:val="348E4BFF"/>
    <w:rsid w:val="349F172B"/>
    <w:rsid w:val="349F636B"/>
    <w:rsid w:val="34BA730E"/>
    <w:rsid w:val="34DE5DCD"/>
    <w:rsid w:val="34EF34DB"/>
    <w:rsid w:val="350C7A1A"/>
    <w:rsid w:val="350D746F"/>
    <w:rsid w:val="351D5AFE"/>
    <w:rsid w:val="357205B3"/>
    <w:rsid w:val="35960F59"/>
    <w:rsid w:val="35B601DE"/>
    <w:rsid w:val="35DF3A8D"/>
    <w:rsid w:val="35F94075"/>
    <w:rsid w:val="360B1D73"/>
    <w:rsid w:val="36144313"/>
    <w:rsid w:val="361F3323"/>
    <w:rsid w:val="36214D79"/>
    <w:rsid w:val="362C01BB"/>
    <w:rsid w:val="36340BAB"/>
    <w:rsid w:val="36364468"/>
    <w:rsid w:val="3651059D"/>
    <w:rsid w:val="365F023B"/>
    <w:rsid w:val="36777F80"/>
    <w:rsid w:val="367D7C8A"/>
    <w:rsid w:val="36863DE8"/>
    <w:rsid w:val="36936A40"/>
    <w:rsid w:val="369574F8"/>
    <w:rsid w:val="36C16D48"/>
    <w:rsid w:val="36D74C1A"/>
    <w:rsid w:val="36E60988"/>
    <w:rsid w:val="36E80DA6"/>
    <w:rsid w:val="36E93760"/>
    <w:rsid w:val="36EB5A44"/>
    <w:rsid w:val="36FB6025"/>
    <w:rsid w:val="36FE7009"/>
    <w:rsid w:val="36FE7AD7"/>
    <w:rsid w:val="370631FF"/>
    <w:rsid w:val="370E2B32"/>
    <w:rsid w:val="37157B14"/>
    <w:rsid w:val="372E1590"/>
    <w:rsid w:val="373A314E"/>
    <w:rsid w:val="374B1810"/>
    <w:rsid w:val="375059AC"/>
    <w:rsid w:val="37515AFF"/>
    <w:rsid w:val="37521920"/>
    <w:rsid w:val="3755651C"/>
    <w:rsid w:val="376221A4"/>
    <w:rsid w:val="376855C9"/>
    <w:rsid w:val="37712677"/>
    <w:rsid w:val="37714CBA"/>
    <w:rsid w:val="3784394E"/>
    <w:rsid w:val="37B53E60"/>
    <w:rsid w:val="37D83B19"/>
    <w:rsid w:val="37F00D14"/>
    <w:rsid w:val="37F106E2"/>
    <w:rsid w:val="37F21BD6"/>
    <w:rsid w:val="37F434A4"/>
    <w:rsid w:val="38124919"/>
    <w:rsid w:val="38156766"/>
    <w:rsid w:val="381D0C5E"/>
    <w:rsid w:val="38272DD7"/>
    <w:rsid w:val="382D1098"/>
    <w:rsid w:val="383311BF"/>
    <w:rsid w:val="38393323"/>
    <w:rsid w:val="38410CEB"/>
    <w:rsid w:val="384D4563"/>
    <w:rsid w:val="385C202B"/>
    <w:rsid w:val="386159EF"/>
    <w:rsid w:val="387A0F45"/>
    <w:rsid w:val="388247F6"/>
    <w:rsid w:val="38AB1CD2"/>
    <w:rsid w:val="38AE3BB0"/>
    <w:rsid w:val="38BB7E8A"/>
    <w:rsid w:val="38C54ED7"/>
    <w:rsid w:val="38CD3311"/>
    <w:rsid w:val="38D30181"/>
    <w:rsid w:val="38D77892"/>
    <w:rsid w:val="38E171FF"/>
    <w:rsid w:val="38F73026"/>
    <w:rsid w:val="38FE278B"/>
    <w:rsid w:val="39252A53"/>
    <w:rsid w:val="392E35B1"/>
    <w:rsid w:val="39625FAB"/>
    <w:rsid w:val="396918A2"/>
    <w:rsid w:val="39882443"/>
    <w:rsid w:val="39B01EC1"/>
    <w:rsid w:val="39B535F0"/>
    <w:rsid w:val="39DB336A"/>
    <w:rsid w:val="3A2E7D42"/>
    <w:rsid w:val="3A370821"/>
    <w:rsid w:val="3A3A1A3C"/>
    <w:rsid w:val="3A3F5ADB"/>
    <w:rsid w:val="3A4C17D3"/>
    <w:rsid w:val="3A5D3D12"/>
    <w:rsid w:val="3A62756B"/>
    <w:rsid w:val="3A88741B"/>
    <w:rsid w:val="3A9D37FB"/>
    <w:rsid w:val="3AA2105B"/>
    <w:rsid w:val="3AB06E32"/>
    <w:rsid w:val="3AB816A1"/>
    <w:rsid w:val="3ACB5746"/>
    <w:rsid w:val="3AD64A3D"/>
    <w:rsid w:val="3AD85197"/>
    <w:rsid w:val="3AE12F3F"/>
    <w:rsid w:val="3AEE79F9"/>
    <w:rsid w:val="3AF41450"/>
    <w:rsid w:val="3AF5070A"/>
    <w:rsid w:val="3B002B68"/>
    <w:rsid w:val="3B070AA1"/>
    <w:rsid w:val="3B0F2D7F"/>
    <w:rsid w:val="3B2F3621"/>
    <w:rsid w:val="3B391536"/>
    <w:rsid w:val="3B54709C"/>
    <w:rsid w:val="3B5740E0"/>
    <w:rsid w:val="3B6C5C0E"/>
    <w:rsid w:val="3B7042E5"/>
    <w:rsid w:val="3BAB221C"/>
    <w:rsid w:val="3BB20883"/>
    <w:rsid w:val="3BB22A62"/>
    <w:rsid w:val="3BB67D65"/>
    <w:rsid w:val="3BB87512"/>
    <w:rsid w:val="3BE83E67"/>
    <w:rsid w:val="3BE902F0"/>
    <w:rsid w:val="3C0C7420"/>
    <w:rsid w:val="3C0E0CE2"/>
    <w:rsid w:val="3C44670A"/>
    <w:rsid w:val="3C512CD6"/>
    <w:rsid w:val="3C6A0F5F"/>
    <w:rsid w:val="3CA02A19"/>
    <w:rsid w:val="3CA142B8"/>
    <w:rsid w:val="3CAD78F0"/>
    <w:rsid w:val="3CAF1D99"/>
    <w:rsid w:val="3CB762D8"/>
    <w:rsid w:val="3CBD5DD7"/>
    <w:rsid w:val="3CE10723"/>
    <w:rsid w:val="3CEF2214"/>
    <w:rsid w:val="3CFB29A5"/>
    <w:rsid w:val="3CFE1EA1"/>
    <w:rsid w:val="3D0B3DD7"/>
    <w:rsid w:val="3D3449EE"/>
    <w:rsid w:val="3D48090E"/>
    <w:rsid w:val="3D5310CE"/>
    <w:rsid w:val="3D6371C7"/>
    <w:rsid w:val="3D6D4569"/>
    <w:rsid w:val="3D921FA4"/>
    <w:rsid w:val="3DA36EC8"/>
    <w:rsid w:val="3DA8275C"/>
    <w:rsid w:val="3DBC5C66"/>
    <w:rsid w:val="3DCF028A"/>
    <w:rsid w:val="3DCF1FD3"/>
    <w:rsid w:val="3DEF1A8F"/>
    <w:rsid w:val="3DF83538"/>
    <w:rsid w:val="3DFB4F26"/>
    <w:rsid w:val="3E1B318B"/>
    <w:rsid w:val="3E2668F3"/>
    <w:rsid w:val="3E2B7359"/>
    <w:rsid w:val="3E441C7D"/>
    <w:rsid w:val="3E450DCB"/>
    <w:rsid w:val="3E6E7EB6"/>
    <w:rsid w:val="3E774042"/>
    <w:rsid w:val="3E7A68B2"/>
    <w:rsid w:val="3E9E30B1"/>
    <w:rsid w:val="3ED21EFC"/>
    <w:rsid w:val="3EE708D4"/>
    <w:rsid w:val="3F0251AB"/>
    <w:rsid w:val="3F2C44E8"/>
    <w:rsid w:val="3F3C6991"/>
    <w:rsid w:val="3F612948"/>
    <w:rsid w:val="3F6D18B8"/>
    <w:rsid w:val="3F700302"/>
    <w:rsid w:val="3F805108"/>
    <w:rsid w:val="3F831F54"/>
    <w:rsid w:val="3F8B2111"/>
    <w:rsid w:val="3F943749"/>
    <w:rsid w:val="3FA52A85"/>
    <w:rsid w:val="3FB5755C"/>
    <w:rsid w:val="3FBF61DE"/>
    <w:rsid w:val="3FC60A1C"/>
    <w:rsid w:val="3FC956FF"/>
    <w:rsid w:val="3FCC7471"/>
    <w:rsid w:val="3FE86D35"/>
    <w:rsid w:val="3FF309D1"/>
    <w:rsid w:val="401B6BE4"/>
    <w:rsid w:val="402D2326"/>
    <w:rsid w:val="40722842"/>
    <w:rsid w:val="4073781B"/>
    <w:rsid w:val="40834C5E"/>
    <w:rsid w:val="40933E31"/>
    <w:rsid w:val="40983E14"/>
    <w:rsid w:val="409C40B7"/>
    <w:rsid w:val="40A36A71"/>
    <w:rsid w:val="40C3172A"/>
    <w:rsid w:val="40CD0D79"/>
    <w:rsid w:val="40DB36E7"/>
    <w:rsid w:val="40DD4DA5"/>
    <w:rsid w:val="40DE5E80"/>
    <w:rsid w:val="40E00A06"/>
    <w:rsid w:val="40F66477"/>
    <w:rsid w:val="410045B8"/>
    <w:rsid w:val="410E4736"/>
    <w:rsid w:val="41222703"/>
    <w:rsid w:val="412F6853"/>
    <w:rsid w:val="41352AD1"/>
    <w:rsid w:val="41383227"/>
    <w:rsid w:val="413E6B9C"/>
    <w:rsid w:val="41442BC4"/>
    <w:rsid w:val="414C3837"/>
    <w:rsid w:val="4151693C"/>
    <w:rsid w:val="41570EA0"/>
    <w:rsid w:val="415B3F2D"/>
    <w:rsid w:val="416130D3"/>
    <w:rsid w:val="417513A5"/>
    <w:rsid w:val="417C6CAD"/>
    <w:rsid w:val="41917CF2"/>
    <w:rsid w:val="41C20B81"/>
    <w:rsid w:val="41D3631F"/>
    <w:rsid w:val="41D376E9"/>
    <w:rsid w:val="41F466FD"/>
    <w:rsid w:val="42094FE5"/>
    <w:rsid w:val="421215FC"/>
    <w:rsid w:val="42121DF8"/>
    <w:rsid w:val="421D2ECD"/>
    <w:rsid w:val="422100D8"/>
    <w:rsid w:val="42217CB3"/>
    <w:rsid w:val="422470A5"/>
    <w:rsid w:val="42292D3F"/>
    <w:rsid w:val="42343B50"/>
    <w:rsid w:val="424D1D79"/>
    <w:rsid w:val="426658DC"/>
    <w:rsid w:val="426C689E"/>
    <w:rsid w:val="426F0006"/>
    <w:rsid w:val="42855888"/>
    <w:rsid w:val="428F1E70"/>
    <w:rsid w:val="42A3118A"/>
    <w:rsid w:val="42A67A24"/>
    <w:rsid w:val="42A70271"/>
    <w:rsid w:val="42B14F02"/>
    <w:rsid w:val="42B77760"/>
    <w:rsid w:val="42C53C7C"/>
    <w:rsid w:val="42D846B9"/>
    <w:rsid w:val="42F94010"/>
    <w:rsid w:val="42FF5822"/>
    <w:rsid w:val="43032C04"/>
    <w:rsid w:val="43133CA2"/>
    <w:rsid w:val="431E06F5"/>
    <w:rsid w:val="432A459F"/>
    <w:rsid w:val="43314CEC"/>
    <w:rsid w:val="43407E5D"/>
    <w:rsid w:val="436F16C8"/>
    <w:rsid w:val="437E43A7"/>
    <w:rsid w:val="43A530D5"/>
    <w:rsid w:val="43A63ACD"/>
    <w:rsid w:val="43C871E9"/>
    <w:rsid w:val="43D74D03"/>
    <w:rsid w:val="43DD5A2B"/>
    <w:rsid w:val="440962BF"/>
    <w:rsid w:val="440D5045"/>
    <w:rsid w:val="440E0B4B"/>
    <w:rsid w:val="440F63CD"/>
    <w:rsid w:val="44136EA0"/>
    <w:rsid w:val="44192D9B"/>
    <w:rsid w:val="441A51F5"/>
    <w:rsid w:val="442764E9"/>
    <w:rsid w:val="44353F8F"/>
    <w:rsid w:val="4439535B"/>
    <w:rsid w:val="44581453"/>
    <w:rsid w:val="445A45BF"/>
    <w:rsid w:val="446F3944"/>
    <w:rsid w:val="448D14A7"/>
    <w:rsid w:val="448E177C"/>
    <w:rsid w:val="44CD33BC"/>
    <w:rsid w:val="44F14EB5"/>
    <w:rsid w:val="44F72CB3"/>
    <w:rsid w:val="44FC119E"/>
    <w:rsid w:val="451927B1"/>
    <w:rsid w:val="451A55DB"/>
    <w:rsid w:val="452C3E4C"/>
    <w:rsid w:val="452E0B05"/>
    <w:rsid w:val="45377890"/>
    <w:rsid w:val="453D5F8C"/>
    <w:rsid w:val="45465B7A"/>
    <w:rsid w:val="45543B87"/>
    <w:rsid w:val="456718E4"/>
    <w:rsid w:val="45684AB3"/>
    <w:rsid w:val="457C5A2E"/>
    <w:rsid w:val="45844BB0"/>
    <w:rsid w:val="458A0040"/>
    <w:rsid w:val="459215EA"/>
    <w:rsid w:val="459247E8"/>
    <w:rsid w:val="45BE6191"/>
    <w:rsid w:val="45D15B90"/>
    <w:rsid w:val="460C2B72"/>
    <w:rsid w:val="460C5979"/>
    <w:rsid w:val="46175F7C"/>
    <w:rsid w:val="462F15B4"/>
    <w:rsid w:val="464846D9"/>
    <w:rsid w:val="464D1C6B"/>
    <w:rsid w:val="464D67A7"/>
    <w:rsid w:val="46684CF6"/>
    <w:rsid w:val="466C25B5"/>
    <w:rsid w:val="466E49A6"/>
    <w:rsid w:val="467D460D"/>
    <w:rsid w:val="46B50896"/>
    <w:rsid w:val="46B75333"/>
    <w:rsid w:val="46BF047C"/>
    <w:rsid w:val="46DC3D97"/>
    <w:rsid w:val="46F06C90"/>
    <w:rsid w:val="46F376B5"/>
    <w:rsid w:val="47011A95"/>
    <w:rsid w:val="471414B0"/>
    <w:rsid w:val="472D76EC"/>
    <w:rsid w:val="473E0378"/>
    <w:rsid w:val="47770D34"/>
    <w:rsid w:val="477941E7"/>
    <w:rsid w:val="477F3153"/>
    <w:rsid w:val="47820594"/>
    <w:rsid w:val="47913E0A"/>
    <w:rsid w:val="47A66124"/>
    <w:rsid w:val="47B00298"/>
    <w:rsid w:val="47BB2256"/>
    <w:rsid w:val="47C01792"/>
    <w:rsid w:val="47D46D74"/>
    <w:rsid w:val="47E60A65"/>
    <w:rsid w:val="47FA7C1F"/>
    <w:rsid w:val="4808150F"/>
    <w:rsid w:val="480D62C5"/>
    <w:rsid w:val="481C02CD"/>
    <w:rsid w:val="4823760F"/>
    <w:rsid w:val="482E6328"/>
    <w:rsid w:val="485E7F94"/>
    <w:rsid w:val="485F577F"/>
    <w:rsid w:val="486B6828"/>
    <w:rsid w:val="486D3F37"/>
    <w:rsid w:val="48756853"/>
    <w:rsid w:val="487713F0"/>
    <w:rsid w:val="488323FD"/>
    <w:rsid w:val="48A3104F"/>
    <w:rsid w:val="48B36843"/>
    <w:rsid w:val="48CF5DB0"/>
    <w:rsid w:val="48D1344C"/>
    <w:rsid w:val="48F14C07"/>
    <w:rsid w:val="49197FB0"/>
    <w:rsid w:val="491C1781"/>
    <w:rsid w:val="4933727F"/>
    <w:rsid w:val="493578C2"/>
    <w:rsid w:val="49426779"/>
    <w:rsid w:val="49447BAA"/>
    <w:rsid w:val="494D2039"/>
    <w:rsid w:val="494D2151"/>
    <w:rsid w:val="494F189C"/>
    <w:rsid w:val="49525A14"/>
    <w:rsid w:val="496715AB"/>
    <w:rsid w:val="496E5961"/>
    <w:rsid w:val="497865A6"/>
    <w:rsid w:val="497A5043"/>
    <w:rsid w:val="49C852EC"/>
    <w:rsid w:val="49E9233D"/>
    <w:rsid w:val="49F56908"/>
    <w:rsid w:val="4A207094"/>
    <w:rsid w:val="4A32121C"/>
    <w:rsid w:val="4A413C64"/>
    <w:rsid w:val="4A5743A3"/>
    <w:rsid w:val="4A613930"/>
    <w:rsid w:val="4A713ACF"/>
    <w:rsid w:val="4A7A017C"/>
    <w:rsid w:val="4A873B4F"/>
    <w:rsid w:val="4A8A22A9"/>
    <w:rsid w:val="4A9A5D0C"/>
    <w:rsid w:val="4AA51F40"/>
    <w:rsid w:val="4AAD1944"/>
    <w:rsid w:val="4AC31003"/>
    <w:rsid w:val="4AC4534C"/>
    <w:rsid w:val="4ACC4FFF"/>
    <w:rsid w:val="4ACC5E85"/>
    <w:rsid w:val="4AE93159"/>
    <w:rsid w:val="4AEA633A"/>
    <w:rsid w:val="4AF3502D"/>
    <w:rsid w:val="4AF60682"/>
    <w:rsid w:val="4B0E4C53"/>
    <w:rsid w:val="4B22784C"/>
    <w:rsid w:val="4B283586"/>
    <w:rsid w:val="4B392E05"/>
    <w:rsid w:val="4B5460CA"/>
    <w:rsid w:val="4B7541C2"/>
    <w:rsid w:val="4B8A5622"/>
    <w:rsid w:val="4B9B1C48"/>
    <w:rsid w:val="4BBF1E59"/>
    <w:rsid w:val="4BD0339A"/>
    <w:rsid w:val="4BF26886"/>
    <w:rsid w:val="4BFD468B"/>
    <w:rsid w:val="4C0C5A57"/>
    <w:rsid w:val="4C0E7BC3"/>
    <w:rsid w:val="4C2536DE"/>
    <w:rsid w:val="4C29524D"/>
    <w:rsid w:val="4C6E64C6"/>
    <w:rsid w:val="4CAD2127"/>
    <w:rsid w:val="4CB10F20"/>
    <w:rsid w:val="4CC9255E"/>
    <w:rsid w:val="4CD910B5"/>
    <w:rsid w:val="4CE754D1"/>
    <w:rsid w:val="4D462159"/>
    <w:rsid w:val="4D5C5FAC"/>
    <w:rsid w:val="4D747B78"/>
    <w:rsid w:val="4D772ED0"/>
    <w:rsid w:val="4D7F28A8"/>
    <w:rsid w:val="4D9429A8"/>
    <w:rsid w:val="4D943F53"/>
    <w:rsid w:val="4DA047C6"/>
    <w:rsid w:val="4DBF6E51"/>
    <w:rsid w:val="4DC605B6"/>
    <w:rsid w:val="4DCB0AFF"/>
    <w:rsid w:val="4DCE65B3"/>
    <w:rsid w:val="4DEC0985"/>
    <w:rsid w:val="4DF35865"/>
    <w:rsid w:val="4E090EE6"/>
    <w:rsid w:val="4E0A0A85"/>
    <w:rsid w:val="4E192AC4"/>
    <w:rsid w:val="4E1E278A"/>
    <w:rsid w:val="4E27683A"/>
    <w:rsid w:val="4E3120E4"/>
    <w:rsid w:val="4E6415B4"/>
    <w:rsid w:val="4E9836A8"/>
    <w:rsid w:val="4E9D3732"/>
    <w:rsid w:val="4EAA5895"/>
    <w:rsid w:val="4EB23297"/>
    <w:rsid w:val="4EBB4CD8"/>
    <w:rsid w:val="4EC50D95"/>
    <w:rsid w:val="4EC705EC"/>
    <w:rsid w:val="4EFF01F6"/>
    <w:rsid w:val="4F137A87"/>
    <w:rsid w:val="4F2765B1"/>
    <w:rsid w:val="4F285975"/>
    <w:rsid w:val="4F7E333B"/>
    <w:rsid w:val="4FCD3ACD"/>
    <w:rsid w:val="4FD57C9B"/>
    <w:rsid w:val="50000E31"/>
    <w:rsid w:val="503E18E9"/>
    <w:rsid w:val="504E7201"/>
    <w:rsid w:val="50554158"/>
    <w:rsid w:val="506007C2"/>
    <w:rsid w:val="50687873"/>
    <w:rsid w:val="50B03AFC"/>
    <w:rsid w:val="50B9385F"/>
    <w:rsid w:val="50C05272"/>
    <w:rsid w:val="50C53B21"/>
    <w:rsid w:val="50E71C83"/>
    <w:rsid w:val="5100285B"/>
    <w:rsid w:val="510D5F73"/>
    <w:rsid w:val="511D4EF9"/>
    <w:rsid w:val="51201E81"/>
    <w:rsid w:val="512C687A"/>
    <w:rsid w:val="51311003"/>
    <w:rsid w:val="51375DC7"/>
    <w:rsid w:val="51796EDE"/>
    <w:rsid w:val="517D4D31"/>
    <w:rsid w:val="51822456"/>
    <w:rsid w:val="51825166"/>
    <w:rsid w:val="51867298"/>
    <w:rsid w:val="518D6111"/>
    <w:rsid w:val="519A1F58"/>
    <w:rsid w:val="51A4420A"/>
    <w:rsid w:val="51AD0A0B"/>
    <w:rsid w:val="51B7368D"/>
    <w:rsid w:val="51DB13CA"/>
    <w:rsid w:val="520370E4"/>
    <w:rsid w:val="52041E1C"/>
    <w:rsid w:val="52195EDF"/>
    <w:rsid w:val="52313387"/>
    <w:rsid w:val="52326E4F"/>
    <w:rsid w:val="524033A3"/>
    <w:rsid w:val="524915BA"/>
    <w:rsid w:val="5251759D"/>
    <w:rsid w:val="525941C9"/>
    <w:rsid w:val="525C66C5"/>
    <w:rsid w:val="52744531"/>
    <w:rsid w:val="52AB2346"/>
    <w:rsid w:val="52AB421E"/>
    <w:rsid w:val="52BB2D88"/>
    <w:rsid w:val="52BB60A0"/>
    <w:rsid w:val="52BC5461"/>
    <w:rsid w:val="52BD57F6"/>
    <w:rsid w:val="52C0248E"/>
    <w:rsid w:val="52CC766D"/>
    <w:rsid w:val="52DC27AC"/>
    <w:rsid w:val="52E04D27"/>
    <w:rsid w:val="52E10FBF"/>
    <w:rsid w:val="52EB7199"/>
    <w:rsid w:val="52EE6E6F"/>
    <w:rsid w:val="52EF6B3B"/>
    <w:rsid w:val="530904DD"/>
    <w:rsid w:val="531C1FC4"/>
    <w:rsid w:val="53253270"/>
    <w:rsid w:val="532F3F2D"/>
    <w:rsid w:val="5337777F"/>
    <w:rsid w:val="533C14FB"/>
    <w:rsid w:val="534507D2"/>
    <w:rsid w:val="534D5F6F"/>
    <w:rsid w:val="535E4C9F"/>
    <w:rsid w:val="53601CAC"/>
    <w:rsid w:val="53684180"/>
    <w:rsid w:val="536B56F0"/>
    <w:rsid w:val="538F5761"/>
    <w:rsid w:val="5397400B"/>
    <w:rsid w:val="539A390F"/>
    <w:rsid w:val="53AD6B40"/>
    <w:rsid w:val="53AE33D1"/>
    <w:rsid w:val="53B938BC"/>
    <w:rsid w:val="53C23440"/>
    <w:rsid w:val="53DB3477"/>
    <w:rsid w:val="53DE1FA9"/>
    <w:rsid w:val="53E52AD5"/>
    <w:rsid w:val="53E86AC6"/>
    <w:rsid w:val="53F62D3A"/>
    <w:rsid w:val="541E0EA0"/>
    <w:rsid w:val="543F43B9"/>
    <w:rsid w:val="545177CB"/>
    <w:rsid w:val="546224E7"/>
    <w:rsid w:val="546923D7"/>
    <w:rsid w:val="54980547"/>
    <w:rsid w:val="54AF6B42"/>
    <w:rsid w:val="54B023D0"/>
    <w:rsid w:val="54B12932"/>
    <w:rsid w:val="54D34E63"/>
    <w:rsid w:val="54DD7771"/>
    <w:rsid w:val="551E56A1"/>
    <w:rsid w:val="552A3CCE"/>
    <w:rsid w:val="55406494"/>
    <w:rsid w:val="55693625"/>
    <w:rsid w:val="557977B0"/>
    <w:rsid w:val="557A37FB"/>
    <w:rsid w:val="55B753BB"/>
    <w:rsid w:val="55C14585"/>
    <w:rsid w:val="55C52903"/>
    <w:rsid w:val="55CC40ED"/>
    <w:rsid w:val="55D83B60"/>
    <w:rsid w:val="55DB558C"/>
    <w:rsid w:val="55DD6F2A"/>
    <w:rsid w:val="55E66DE6"/>
    <w:rsid w:val="55F67B3A"/>
    <w:rsid w:val="55FB27DB"/>
    <w:rsid w:val="55FD3A1F"/>
    <w:rsid w:val="55FE02F9"/>
    <w:rsid w:val="56013F76"/>
    <w:rsid w:val="56171AE4"/>
    <w:rsid w:val="5620169D"/>
    <w:rsid w:val="565C59D2"/>
    <w:rsid w:val="568162CD"/>
    <w:rsid w:val="568B5302"/>
    <w:rsid w:val="569D1DF0"/>
    <w:rsid w:val="56C471A2"/>
    <w:rsid w:val="56D915D9"/>
    <w:rsid w:val="56E04AAE"/>
    <w:rsid w:val="56E065C7"/>
    <w:rsid w:val="56E23970"/>
    <w:rsid w:val="56F664C7"/>
    <w:rsid w:val="572027E1"/>
    <w:rsid w:val="57365416"/>
    <w:rsid w:val="573831D8"/>
    <w:rsid w:val="573867F6"/>
    <w:rsid w:val="573C00D4"/>
    <w:rsid w:val="573C506B"/>
    <w:rsid w:val="574C39D2"/>
    <w:rsid w:val="575A7304"/>
    <w:rsid w:val="575F53FE"/>
    <w:rsid w:val="577A3C7D"/>
    <w:rsid w:val="578F220A"/>
    <w:rsid w:val="57A77DFF"/>
    <w:rsid w:val="57DA1747"/>
    <w:rsid w:val="57F74C7A"/>
    <w:rsid w:val="57FB73AA"/>
    <w:rsid w:val="57FC07D9"/>
    <w:rsid w:val="58142FAE"/>
    <w:rsid w:val="581B5327"/>
    <w:rsid w:val="583A33AF"/>
    <w:rsid w:val="58500F22"/>
    <w:rsid w:val="586C7120"/>
    <w:rsid w:val="58710315"/>
    <w:rsid w:val="58A0719C"/>
    <w:rsid w:val="58A3008B"/>
    <w:rsid w:val="58B06786"/>
    <w:rsid w:val="58B614DA"/>
    <w:rsid w:val="58BC5557"/>
    <w:rsid w:val="58E61853"/>
    <w:rsid w:val="590208B8"/>
    <w:rsid w:val="59040BCD"/>
    <w:rsid w:val="591C0009"/>
    <w:rsid w:val="59311B17"/>
    <w:rsid w:val="59435787"/>
    <w:rsid w:val="594B0E52"/>
    <w:rsid w:val="5955570A"/>
    <w:rsid w:val="59683E0D"/>
    <w:rsid w:val="596B5623"/>
    <w:rsid w:val="59862DC0"/>
    <w:rsid w:val="599026FB"/>
    <w:rsid w:val="59AA2198"/>
    <w:rsid w:val="59DB6978"/>
    <w:rsid w:val="59EB68FD"/>
    <w:rsid w:val="59F0716E"/>
    <w:rsid w:val="5A6A1D62"/>
    <w:rsid w:val="5A6E01CC"/>
    <w:rsid w:val="5A6F78C6"/>
    <w:rsid w:val="5A7844C7"/>
    <w:rsid w:val="5A992F90"/>
    <w:rsid w:val="5AA057C0"/>
    <w:rsid w:val="5AB42AD5"/>
    <w:rsid w:val="5ACF0F3A"/>
    <w:rsid w:val="5AD22BBE"/>
    <w:rsid w:val="5ADF2806"/>
    <w:rsid w:val="5AFA2E05"/>
    <w:rsid w:val="5B0128B8"/>
    <w:rsid w:val="5B067038"/>
    <w:rsid w:val="5B082305"/>
    <w:rsid w:val="5B237F24"/>
    <w:rsid w:val="5B50514F"/>
    <w:rsid w:val="5B687229"/>
    <w:rsid w:val="5B692A8B"/>
    <w:rsid w:val="5B6C26DE"/>
    <w:rsid w:val="5B7E07E9"/>
    <w:rsid w:val="5B8465E6"/>
    <w:rsid w:val="5B990441"/>
    <w:rsid w:val="5BAA56C8"/>
    <w:rsid w:val="5BAE0ADD"/>
    <w:rsid w:val="5BCA199C"/>
    <w:rsid w:val="5BCA48BE"/>
    <w:rsid w:val="5BE6743B"/>
    <w:rsid w:val="5BF92461"/>
    <w:rsid w:val="5C0E5194"/>
    <w:rsid w:val="5C172B30"/>
    <w:rsid w:val="5C5671D7"/>
    <w:rsid w:val="5C6B1600"/>
    <w:rsid w:val="5C6D3BF8"/>
    <w:rsid w:val="5C7960E9"/>
    <w:rsid w:val="5C7F71F7"/>
    <w:rsid w:val="5C921AD0"/>
    <w:rsid w:val="5C9774C9"/>
    <w:rsid w:val="5CC57051"/>
    <w:rsid w:val="5CC66B99"/>
    <w:rsid w:val="5CC775FC"/>
    <w:rsid w:val="5CD71CE4"/>
    <w:rsid w:val="5CE452BF"/>
    <w:rsid w:val="5CFA3ADB"/>
    <w:rsid w:val="5D3B6B13"/>
    <w:rsid w:val="5D4C7AD8"/>
    <w:rsid w:val="5D6A62E1"/>
    <w:rsid w:val="5D787300"/>
    <w:rsid w:val="5D7E1DBC"/>
    <w:rsid w:val="5D92388C"/>
    <w:rsid w:val="5D9A19C7"/>
    <w:rsid w:val="5D9D35FA"/>
    <w:rsid w:val="5D9E4294"/>
    <w:rsid w:val="5DA81EFE"/>
    <w:rsid w:val="5DB17C58"/>
    <w:rsid w:val="5DDA1D53"/>
    <w:rsid w:val="5DFD51DB"/>
    <w:rsid w:val="5E0D36E5"/>
    <w:rsid w:val="5E1002FD"/>
    <w:rsid w:val="5E224F99"/>
    <w:rsid w:val="5E444DF6"/>
    <w:rsid w:val="5E503733"/>
    <w:rsid w:val="5E7F396E"/>
    <w:rsid w:val="5E902F8E"/>
    <w:rsid w:val="5E911548"/>
    <w:rsid w:val="5E934AED"/>
    <w:rsid w:val="5E995E3F"/>
    <w:rsid w:val="5EA6379D"/>
    <w:rsid w:val="5EAD6E05"/>
    <w:rsid w:val="5EC5285B"/>
    <w:rsid w:val="5ED46C26"/>
    <w:rsid w:val="5EE4122E"/>
    <w:rsid w:val="5EE52698"/>
    <w:rsid w:val="5EF524A1"/>
    <w:rsid w:val="5EF57670"/>
    <w:rsid w:val="5EFC1424"/>
    <w:rsid w:val="5F0811E3"/>
    <w:rsid w:val="5F1F05BA"/>
    <w:rsid w:val="5F361D37"/>
    <w:rsid w:val="5F50230E"/>
    <w:rsid w:val="5F5E55EC"/>
    <w:rsid w:val="5F66142C"/>
    <w:rsid w:val="5F706696"/>
    <w:rsid w:val="5F731CCC"/>
    <w:rsid w:val="5F7F7F9F"/>
    <w:rsid w:val="5F9775E1"/>
    <w:rsid w:val="5FD27422"/>
    <w:rsid w:val="5FEE53E1"/>
    <w:rsid w:val="5FFB3A9A"/>
    <w:rsid w:val="5FFF1B96"/>
    <w:rsid w:val="6006255A"/>
    <w:rsid w:val="6021076A"/>
    <w:rsid w:val="60211866"/>
    <w:rsid w:val="603D4694"/>
    <w:rsid w:val="604C08B9"/>
    <w:rsid w:val="605A24F4"/>
    <w:rsid w:val="60720528"/>
    <w:rsid w:val="607C3753"/>
    <w:rsid w:val="6087392D"/>
    <w:rsid w:val="60923D3B"/>
    <w:rsid w:val="60B76F2E"/>
    <w:rsid w:val="60C30855"/>
    <w:rsid w:val="60CA5F69"/>
    <w:rsid w:val="60CB09E3"/>
    <w:rsid w:val="60D37EAF"/>
    <w:rsid w:val="60DB1EFF"/>
    <w:rsid w:val="60DE6095"/>
    <w:rsid w:val="60E2600C"/>
    <w:rsid w:val="60E9600B"/>
    <w:rsid w:val="60FC647A"/>
    <w:rsid w:val="61051C4F"/>
    <w:rsid w:val="61280E5E"/>
    <w:rsid w:val="612F28F8"/>
    <w:rsid w:val="61301F3D"/>
    <w:rsid w:val="61421EFD"/>
    <w:rsid w:val="614B5348"/>
    <w:rsid w:val="61532AE0"/>
    <w:rsid w:val="615C5041"/>
    <w:rsid w:val="61604651"/>
    <w:rsid w:val="618137C8"/>
    <w:rsid w:val="619B50D8"/>
    <w:rsid w:val="61AA3034"/>
    <w:rsid w:val="61BF25EC"/>
    <w:rsid w:val="61CF7251"/>
    <w:rsid w:val="61E345F0"/>
    <w:rsid w:val="61E62A2A"/>
    <w:rsid w:val="620D38FD"/>
    <w:rsid w:val="621E51BC"/>
    <w:rsid w:val="62216C6C"/>
    <w:rsid w:val="62226413"/>
    <w:rsid w:val="6240718C"/>
    <w:rsid w:val="62502DDA"/>
    <w:rsid w:val="62672181"/>
    <w:rsid w:val="627D6E80"/>
    <w:rsid w:val="627E3379"/>
    <w:rsid w:val="628C1D03"/>
    <w:rsid w:val="6298483C"/>
    <w:rsid w:val="629C3F07"/>
    <w:rsid w:val="62A45EBD"/>
    <w:rsid w:val="62D074F3"/>
    <w:rsid w:val="62DA63DF"/>
    <w:rsid w:val="62DB5257"/>
    <w:rsid w:val="62EA08CF"/>
    <w:rsid w:val="63142BB1"/>
    <w:rsid w:val="633A6746"/>
    <w:rsid w:val="63483A97"/>
    <w:rsid w:val="637C02FD"/>
    <w:rsid w:val="638672A7"/>
    <w:rsid w:val="63904E6E"/>
    <w:rsid w:val="639C388C"/>
    <w:rsid w:val="639E61A5"/>
    <w:rsid w:val="63A33B45"/>
    <w:rsid w:val="63C9014F"/>
    <w:rsid w:val="63F156A0"/>
    <w:rsid w:val="63FE0D55"/>
    <w:rsid w:val="640061BB"/>
    <w:rsid w:val="640D03EA"/>
    <w:rsid w:val="640E4F58"/>
    <w:rsid w:val="642C046F"/>
    <w:rsid w:val="64324805"/>
    <w:rsid w:val="64502415"/>
    <w:rsid w:val="645F2B4B"/>
    <w:rsid w:val="646B3AFA"/>
    <w:rsid w:val="649565F6"/>
    <w:rsid w:val="64CF4322"/>
    <w:rsid w:val="64D16C41"/>
    <w:rsid w:val="64E63530"/>
    <w:rsid w:val="64EC1792"/>
    <w:rsid w:val="64F31453"/>
    <w:rsid w:val="64F92C72"/>
    <w:rsid w:val="650D717F"/>
    <w:rsid w:val="65154B79"/>
    <w:rsid w:val="651B4D5A"/>
    <w:rsid w:val="65500018"/>
    <w:rsid w:val="655D449B"/>
    <w:rsid w:val="6560510E"/>
    <w:rsid w:val="65636C8E"/>
    <w:rsid w:val="658312AC"/>
    <w:rsid w:val="65880ED5"/>
    <w:rsid w:val="65AD322B"/>
    <w:rsid w:val="65B25C19"/>
    <w:rsid w:val="65CE03DF"/>
    <w:rsid w:val="65D3669A"/>
    <w:rsid w:val="65D6683A"/>
    <w:rsid w:val="65DE70FC"/>
    <w:rsid w:val="65FB790A"/>
    <w:rsid w:val="661342F4"/>
    <w:rsid w:val="661D74D6"/>
    <w:rsid w:val="662E4B5F"/>
    <w:rsid w:val="66461860"/>
    <w:rsid w:val="664805B8"/>
    <w:rsid w:val="665103B0"/>
    <w:rsid w:val="66657E78"/>
    <w:rsid w:val="666E1C06"/>
    <w:rsid w:val="667E3F6E"/>
    <w:rsid w:val="669778E8"/>
    <w:rsid w:val="66A766B6"/>
    <w:rsid w:val="66A94DC8"/>
    <w:rsid w:val="66CD764F"/>
    <w:rsid w:val="66CE074B"/>
    <w:rsid w:val="66DB31DE"/>
    <w:rsid w:val="66DE40E2"/>
    <w:rsid w:val="671B1B31"/>
    <w:rsid w:val="672B5340"/>
    <w:rsid w:val="67443AAD"/>
    <w:rsid w:val="674A453F"/>
    <w:rsid w:val="67524CF5"/>
    <w:rsid w:val="67611213"/>
    <w:rsid w:val="67897977"/>
    <w:rsid w:val="67AD4545"/>
    <w:rsid w:val="67C367DA"/>
    <w:rsid w:val="67C9761D"/>
    <w:rsid w:val="67CC58D4"/>
    <w:rsid w:val="67D068B5"/>
    <w:rsid w:val="67E16C24"/>
    <w:rsid w:val="67F35AAA"/>
    <w:rsid w:val="67FC6F39"/>
    <w:rsid w:val="682E48C1"/>
    <w:rsid w:val="685063F8"/>
    <w:rsid w:val="68692337"/>
    <w:rsid w:val="686B61C4"/>
    <w:rsid w:val="687E2D11"/>
    <w:rsid w:val="6884789D"/>
    <w:rsid w:val="689A6E84"/>
    <w:rsid w:val="68A44353"/>
    <w:rsid w:val="68B61721"/>
    <w:rsid w:val="68B96553"/>
    <w:rsid w:val="68D746D7"/>
    <w:rsid w:val="68E0569D"/>
    <w:rsid w:val="68E0682F"/>
    <w:rsid w:val="68E30112"/>
    <w:rsid w:val="68E34D70"/>
    <w:rsid w:val="68F4106C"/>
    <w:rsid w:val="68F85254"/>
    <w:rsid w:val="690243D3"/>
    <w:rsid w:val="690A1FCC"/>
    <w:rsid w:val="690F418B"/>
    <w:rsid w:val="6929684A"/>
    <w:rsid w:val="6959595F"/>
    <w:rsid w:val="695B6956"/>
    <w:rsid w:val="69663C8F"/>
    <w:rsid w:val="69A44437"/>
    <w:rsid w:val="69BB2E62"/>
    <w:rsid w:val="69D53FB9"/>
    <w:rsid w:val="69F22286"/>
    <w:rsid w:val="6A0629A5"/>
    <w:rsid w:val="6A084555"/>
    <w:rsid w:val="6A1156D2"/>
    <w:rsid w:val="6A177BAB"/>
    <w:rsid w:val="6A1B0E47"/>
    <w:rsid w:val="6A4B396F"/>
    <w:rsid w:val="6A4C3EB0"/>
    <w:rsid w:val="6A7A2736"/>
    <w:rsid w:val="6A7B4B9C"/>
    <w:rsid w:val="6A825FC2"/>
    <w:rsid w:val="6A861A9E"/>
    <w:rsid w:val="6A8D31E0"/>
    <w:rsid w:val="6AA17E28"/>
    <w:rsid w:val="6AAA78A7"/>
    <w:rsid w:val="6ABD0649"/>
    <w:rsid w:val="6AC94E85"/>
    <w:rsid w:val="6AC97D20"/>
    <w:rsid w:val="6AE87DB0"/>
    <w:rsid w:val="6AEF3AA7"/>
    <w:rsid w:val="6AF74B37"/>
    <w:rsid w:val="6B1935E9"/>
    <w:rsid w:val="6B242CB6"/>
    <w:rsid w:val="6B2B5D9D"/>
    <w:rsid w:val="6B324736"/>
    <w:rsid w:val="6B616237"/>
    <w:rsid w:val="6B797179"/>
    <w:rsid w:val="6B7E3717"/>
    <w:rsid w:val="6B8F266C"/>
    <w:rsid w:val="6B970AD4"/>
    <w:rsid w:val="6B9D799C"/>
    <w:rsid w:val="6B9E5B62"/>
    <w:rsid w:val="6BA83DA0"/>
    <w:rsid w:val="6BC76E0D"/>
    <w:rsid w:val="6BD71937"/>
    <w:rsid w:val="6BF61737"/>
    <w:rsid w:val="6C25725C"/>
    <w:rsid w:val="6C3F5A5E"/>
    <w:rsid w:val="6C5917F1"/>
    <w:rsid w:val="6C6C6CC9"/>
    <w:rsid w:val="6C7B422B"/>
    <w:rsid w:val="6C89456C"/>
    <w:rsid w:val="6C934534"/>
    <w:rsid w:val="6CA76115"/>
    <w:rsid w:val="6CB122A0"/>
    <w:rsid w:val="6CE3252D"/>
    <w:rsid w:val="6CE338DA"/>
    <w:rsid w:val="6CEE5914"/>
    <w:rsid w:val="6D000868"/>
    <w:rsid w:val="6D1D7106"/>
    <w:rsid w:val="6D271072"/>
    <w:rsid w:val="6D391976"/>
    <w:rsid w:val="6D3C10C2"/>
    <w:rsid w:val="6D414E1F"/>
    <w:rsid w:val="6D510359"/>
    <w:rsid w:val="6D6223EB"/>
    <w:rsid w:val="6D667D08"/>
    <w:rsid w:val="6D6C4446"/>
    <w:rsid w:val="6D71282A"/>
    <w:rsid w:val="6D7A2A3C"/>
    <w:rsid w:val="6D7A5DA9"/>
    <w:rsid w:val="6D892414"/>
    <w:rsid w:val="6DA03FFE"/>
    <w:rsid w:val="6DA60745"/>
    <w:rsid w:val="6DA651B2"/>
    <w:rsid w:val="6DA82630"/>
    <w:rsid w:val="6DAB6D0E"/>
    <w:rsid w:val="6DAF4AB2"/>
    <w:rsid w:val="6DB91E5B"/>
    <w:rsid w:val="6DC14DC8"/>
    <w:rsid w:val="6E1C6B04"/>
    <w:rsid w:val="6E2B62EA"/>
    <w:rsid w:val="6E300DF1"/>
    <w:rsid w:val="6E413540"/>
    <w:rsid w:val="6E437EBF"/>
    <w:rsid w:val="6E462B1F"/>
    <w:rsid w:val="6E5C133C"/>
    <w:rsid w:val="6E794A24"/>
    <w:rsid w:val="6E7E16E8"/>
    <w:rsid w:val="6E8E3DD7"/>
    <w:rsid w:val="6E940CAD"/>
    <w:rsid w:val="6E993208"/>
    <w:rsid w:val="6E9F2EEC"/>
    <w:rsid w:val="6E9F5A23"/>
    <w:rsid w:val="6EA5337E"/>
    <w:rsid w:val="6EAA7F8E"/>
    <w:rsid w:val="6EAE7991"/>
    <w:rsid w:val="6EAF0E12"/>
    <w:rsid w:val="6EB45AAE"/>
    <w:rsid w:val="6EB91CAB"/>
    <w:rsid w:val="6ECD4F8D"/>
    <w:rsid w:val="6ECF299E"/>
    <w:rsid w:val="6EDC1E24"/>
    <w:rsid w:val="6EDF59D4"/>
    <w:rsid w:val="6EED3726"/>
    <w:rsid w:val="6EF7559B"/>
    <w:rsid w:val="6F0B18AC"/>
    <w:rsid w:val="6F1412BD"/>
    <w:rsid w:val="6F166925"/>
    <w:rsid w:val="6F185C27"/>
    <w:rsid w:val="6F2B6900"/>
    <w:rsid w:val="6F5C0CBA"/>
    <w:rsid w:val="6F603769"/>
    <w:rsid w:val="6F8774BF"/>
    <w:rsid w:val="6F901B66"/>
    <w:rsid w:val="6FA629D4"/>
    <w:rsid w:val="6FBF5C46"/>
    <w:rsid w:val="6FCE5BD8"/>
    <w:rsid w:val="6FD10552"/>
    <w:rsid w:val="6FEB7B27"/>
    <w:rsid w:val="6FF81FCC"/>
    <w:rsid w:val="700F1364"/>
    <w:rsid w:val="70326005"/>
    <w:rsid w:val="705E4250"/>
    <w:rsid w:val="70A43C76"/>
    <w:rsid w:val="70B760F4"/>
    <w:rsid w:val="70BA231F"/>
    <w:rsid w:val="70BB2EF0"/>
    <w:rsid w:val="70C50532"/>
    <w:rsid w:val="70D40A71"/>
    <w:rsid w:val="70DC40C5"/>
    <w:rsid w:val="70EF0679"/>
    <w:rsid w:val="70F22E40"/>
    <w:rsid w:val="710626A6"/>
    <w:rsid w:val="71143B45"/>
    <w:rsid w:val="712A7369"/>
    <w:rsid w:val="71322156"/>
    <w:rsid w:val="71570257"/>
    <w:rsid w:val="716910CE"/>
    <w:rsid w:val="71853B47"/>
    <w:rsid w:val="718C0599"/>
    <w:rsid w:val="71915503"/>
    <w:rsid w:val="71B04A16"/>
    <w:rsid w:val="71DA7140"/>
    <w:rsid w:val="71DB44A2"/>
    <w:rsid w:val="71E20C76"/>
    <w:rsid w:val="71EE6C91"/>
    <w:rsid w:val="71F80849"/>
    <w:rsid w:val="721E7594"/>
    <w:rsid w:val="7222770B"/>
    <w:rsid w:val="722631A7"/>
    <w:rsid w:val="72376B42"/>
    <w:rsid w:val="723C0D11"/>
    <w:rsid w:val="72411A48"/>
    <w:rsid w:val="72422D6C"/>
    <w:rsid w:val="724342DD"/>
    <w:rsid w:val="72454855"/>
    <w:rsid w:val="724F69CD"/>
    <w:rsid w:val="725E14F7"/>
    <w:rsid w:val="726E48F8"/>
    <w:rsid w:val="728218DE"/>
    <w:rsid w:val="72A33B77"/>
    <w:rsid w:val="72A6204E"/>
    <w:rsid w:val="72BA11F5"/>
    <w:rsid w:val="72C34E30"/>
    <w:rsid w:val="72CF4263"/>
    <w:rsid w:val="730569F9"/>
    <w:rsid w:val="730C004E"/>
    <w:rsid w:val="731158CE"/>
    <w:rsid w:val="731F40D0"/>
    <w:rsid w:val="73351D8A"/>
    <w:rsid w:val="73455C21"/>
    <w:rsid w:val="734975EA"/>
    <w:rsid w:val="73775BB8"/>
    <w:rsid w:val="7391000B"/>
    <w:rsid w:val="739860D5"/>
    <w:rsid w:val="739C1437"/>
    <w:rsid w:val="73AB7F97"/>
    <w:rsid w:val="73B8077C"/>
    <w:rsid w:val="73C41938"/>
    <w:rsid w:val="73D425F7"/>
    <w:rsid w:val="73E13215"/>
    <w:rsid w:val="73F735AF"/>
    <w:rsid w:val="73FE791F"/>
    <w:rsid w:val="74250F4D"/>
    <w:rsid w:val="7437228B"/>
    <w:rsid w:val="74393E92"/>
    <w:rsid w:val="7450667B"/>
    <w:rsid w:val="74555026"/>
    <w:rsid w:val="745D3418"/>
    <w:rsid w:val="74963AA1"/>
    <w:rsid w:val="74992675"/>
    <w:rsid w:val="74B558ED"/>
    <w:rsid w:val="74C8697F"/>
    <w:rsid w:val="74CD3CEF"/>
    <w:rsid w:val="74E21151"/>
    <w:rsid w:val="74E65BCB"/>
    <w:rsid w:val="74F620B0"/>
    <w:rsid w:val="75014B8F"/>
    <w:rsid w:val="750A2023"/>
    <w:rsid w:val="75165E8F"/>
    <w:rsid w:val="751D1A0A"/>
    <w:rsid w:val="75443A53"/>
    <w:rsid w:val="75525627"/>
    <w:rsid w:val="75772C5B"/>
    <w:rsid w:val="75793FE9"/>
    <w:rsid w:val="75BA104E"/>
    <w:rsid w:val="75BB51C1"/>
    <w:rsid w:val="75BF7A08"/>
    <w:rsid w:val="75E145EA"/>
    <w:rsid w:val="75FA6C1A"/>
    <w:rsid w:val="76451E13"/>
    <w:rsid w:val="764A693B"/>
    <w:rsid w:val="764A7DFA"/>
    <w:rsid w:val="76574574"/>
    <w:rsid w:val="76643AA0"/>
    <w:rsid w:val="7676736A"/>
    <w:rsid w:val="76817419"/>
    <w:rsid w:val="76930D9D"/>
    <w:rsid w:val="76933951"/>
    <w:rsid w:val="769E7E43"/>
    <w:rsid w:val="76C039B1"/>
    <w:rsid w:val="76DF3D50"/>
    <w:rsid w:val="76E55101"/>
    <w:rsid w:val="76F87A5B"/>
    <w:rsid w:val="771A1070"/>
    <w:rsid w:val="771D661B"/>
    <w:rsid w:val="771F475C"/>
    <w:rsid w:val="771F7714"/>
    <w:rsid w:val="772828D3"/>
    <w:rsid w:val="772D4C16"/>
    <w:rsid w:val="77383AEC"/>
    <w:rsid w:val="773E4513"/>
    <w:rsid w:val="77490C56"/>
    <w:rsid w:val="775A780B"/>
    <w:rsid w:val="776C34AA"/>
    <w:rsid w:val="77871371"/>
    <w:rsid w:val="77951748"/>
    <w:rsid w:val="77AA0AFF"/>
    <w:rsid w:val="77AD1DB9"/>
    <w:rsid w:val="77C04FBC"/>
    <w:rsid w:val="77C317BF"/>
    <w:rsid w:val="77C651A7"/>
    <w:rsid w:val="77E15536"/>
    <w:rsid w:val="77EA6C39"/>
    <w:rsid w:val="77EE5964"/>
    <w:rsid w:val="781518BD"/>
    <w:rsid w:val="782F11C8"/>
    <w:rsid w:val="78322DC1"/>
    <w:rsid w:val="78326432"/>
    <w:rsid w:val="783C23EB"/>
    <w:rsid w:val="785F0F8B"/>
    <w:rsid w:val="78662AD7"/>
    <w:rsid w:val="786F6194"/>
    <w:rsid w:val="78782A0D"/>
    <w:rsid w:val="78797925"/>
    <w:rsid w:val="78AC1FEA"/>
    <w:rsid w:val="78AD35A2"/>
    <w:rsid w:val="78B01A78"/>
    <w:rsid w:val="78D64B82"/>
    <w:rsid w:val="78E37A3C"/>
    <w:rsid w:val="791C5A58"/>
    <w:rsid w:val="792977D4"/>
    <w:rsid w:val="7934316A"/>
    <w:rsid w:val="793E4823"/>
    <w:rsid w:val="79485294"/>
    <w:rsid w:val="795E552B"/>
    <w:rsid w:val="79840BA2"/>
    <w:rsid w:val="798537BE"/>
    <w:rsid w:val="79853CD6"/>
    <w:rsid w:val="799C2707"/>
    <w:rsid w:val="79A2171F"/>
    <w:rsid w:val="79A252FF"/>
    <w:rsid w:val="79AB0E36"/>
    <w:rsid w:val="79B86297"/>
    <w:rsid w:val="79BA7A34"/>
    <w:rsid w:val="79BB326B"/>
    <w:rsid w:val="79C23A4D"/>
    <w:rsid w:val="79D33056"/>
    <w:rsid w:val="79DE7F14"/>
    <w:rsid w:val="79E415BB"/>
    <w:rsid w:val="79E5405B"/>
    <w:rsid w:val="79F159CD"/>
    <w:rsid w:val="79F45C2B"/>
    <w:rsid w:val="79F53405"/>
    <w:rsid w:val="79FE3CDA"/>
    <w:rsid w:val="7A015D03"/>
    <w:rsid w:val="7A0B5628"/>
    <w:rsid w:val="7A0D2795"/>
    <w:rsid w:val="7A1C77A7"/>
    <w:rsid w:val="7A255489"/>
    <w:rsid w:val="7A5D4556"/>
    <w:rsid w:val="7A645E33"/>
    <w:rsid w:val="7A750D10"/>
    <w:rsid w:val="7AA9001B"/>
    <w:rsid w:val="7AB40E28"/>
    <w:rsid w:val="7ACE3A40"/>
    <w:rsid w:val="7AD252D4"/>
    <w:rsid w:val="7AEA20EC"/>
    <w:rsid w:val="7AEC2213"/>
    <w:rsid w:val="7AFA1732"/>
    <w:rsid w:val="7B0164C1"/>
    <w:rsid w:val="7B0A748E"/>
    <w:rsid w:val="7B0E6BD2"/>
    <w:rsid w:val="7B325FAA"/>
    <w:rsid w:val="7B371518"/>
    <w:rsid w:val="7B38337F"/>
    <w:rsid w:val="7B530664"/>
    <w:rsid w:val="7B8A3B3A"/>
    <w:rsid w:val="7BAA5853"/>
    <w:rsid w:val="7BCF1E12"/>
    <w:rsid w:val="7BF2268C"/>
    <w:rsid w:val="7C073D88"/>
    <w:rsid w:val="7C120A01"/>
    <w:rsid w:val="7C1D7671"/>
    <w:rsid w:val="7C225282"/>
    <w:rsid w:val="7C2545B0"/>
    <w:rsid w:val="7C26369C"/>
    <w:rsid w:val="7C2B4437"/>
    <w:rsid w:val="7C2E2DF6"/>
    <w:rsid w:val="7C3F3B1B"/>
    <w:rsid w:val="7C492B04"/>
    <w:rsid w:val="7C674B46"/>
    <w:rsid w:val="7C693BB3"/>
    <w:rsid w:val="7C6D7274"/>
    <w:rsid w:val="7C735DFF"/>
    <w:rsid w:val="7C9E5A24"/>
    <w:rsid w:val="7CA4542A"/>
    <w:rsid w:val="7CA47C7C"/>
    <w:rsid w:val="7CAC00CB"/>
    <w:rsid w:val="7CAE296E"/>
    <w:rsid w:val="7CB0518C"/>
    <w:rsid w:val="7CE120DC"/>
    <w:rsid w:val="7CE12D01"/>
    <w:rsid w:val="7D0B51CF"/>
    <w:rsid w:val="7D365C28"/>
    <w:rsid w:val="7D481C8C"/>
    <w:rsid w:val="7D484EFF"/>
    <w:rsid w:val="7D4A3A02"/>
    <w:rsid w:val="7D4D3ABE"/>
    <w:rsid w:val="7D52598B"/>
    <w:rsid w:val="7D575412"/>
    <w:rsid w:val="7D5B16A6"/>
    <w:rsid w:val="7D62117D"/>
    <w:rsid w:val="7D7F522E"/>
    <w:rsid w:val="7D815945"/>
    <w:rsid w:val="7D8D6996"/>
    <w:rsid w:val="7DA15156"/>
    <w:rsid w:val="7DB54254"/>
    <w:rsid w:val="7DBC5DB2"/>
    <w:rsid w:val="7DE459CE"/>
    <w:rsid w:val="7DF4146F"/>
    <w:rsid w:val="7DF67BEC"/>
    <w:rsid w:val="7DF95393"/>
    <w:rsid w:val="7E066BAB"/>
    <w:rsid w:val="7E2579B7"/>
    <w:rsid w:val="7E2E4B93"/>
    <w:rsid w:val="7E3354C8"/>
    <w:rsid w:val="7E38594E"/>
    <w:rsid w:val="7E3E1EF2"/>
    <w:rsid w:val="7E734658"/>
    <w:rsid w:val="7E7369A4"/>
    <w:rsid w:val="7E951513"/>
    <w:rsid w:val="7EA87B44"/>
    <w:rsid w:val="7EBF3E9A"/>
    <w:rsid w:val="7ED5199E"/>
    <w:rsid w:val="7EF142E7"/>
    <w:rsid w:val="7EF74FC9"/>
    <w:rsid w:val="7F0B23AB"/>
    <w:rsid w:val="7F1C5072"/>
    <w:rsid w:val="7F322E22"/>
    <w:rsid w:val="7F42008B"/>
    <w:rsid w:val="7F433405"/>
    <w:rsid w:val="7F5777AD"/>
    <w:rsid w:val="7F5A29DE"/>
    <w:rsid w:val="7F5D06E2"/>
    <w:rsid w:val="7F7652BB"/>
    <w:rsid w:val="7F83318A"/>
    <w:rsid w:val="7F8A50A3"/>
    <w:rsid w:val="7FBA5AD4"/>
    <w:rsid w:val="7FBB7B17"/>
    <w:rsid w:val="7FBF617D"/>
    <w:rsid w:val="7FD7114E"/>
    <w:rsid w:val="7FFC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99" w:semiHidden="0" w:name="Strong"/>
    <w:lsdException w:qFormat="1" w:unhideWhenUsed="0" w:uiPriority="99" w:semiHidden="0" w:name="Emphasis"/>
    <w:lsdException w:qFormat="1"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20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78"/>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77"/>
    <w:qFormat/>
    <w:uiPriority w:val="0"/>
    <w:pPr>
      <w:numPr>
        <w:ilvl w:val="2"/>
      </w:numPr>
      <w:spacing w:before="120"/>
      <w:ind w:left="0"/>
      <w:outlineLvl w:val="2"/>
    </w:pPr>
    <w:rPr>
      <w:sz w:val="24"/>
    </w:rPr>
  </w:style>
  <w:style w:type="paragraph" w:styleId="5">
    <w:name w:val="heading 4"/>
    <w:basedOn w:val="1"/>
    <w:next w:val="1"/>
    <w:unhideWhenUsed/>
    <w:qFormat/>
    <w:uiPriority w:val="9"/>
    <w:pPr>
      <w:keepNext/>
      <w:keepLines/>
      <w:numPr>
        <w:ilvl w:val="3"/>
        <w:numId w:val="2"/>
      </w:numPr>
      <w:spacing w:beforeLines="0" w:afterLines="0" w:line="372" w:lineRule="auto"/>
      <w:outlineLvl w:val="3"/>
    </w:pPr>
    <w:rPr>
      <w:rFonts w:ascii="Arial" w:hAnsi="Arial" w:eastAsia="黑体"/>
      <w:b/>
      <w:sz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66"/>
    <w:semiHidden/>
    <w:unhideWhenUsed/>
    <w:qFormat/>
    <w:uiPriority w:val="99"/>
    <w:rPr>
      <w:rFonts w:ascii="宋体"/>
      <w:sz w:val="18"/>
      <w:szCs w:val="18"/>
    </w:rPr>
  </w:style>
  <w:style w:type="paragraph" w:styleId="11">
    <w:name w:val="annotation text"/>
    <w:basedOn w:val="1"/>
    <w:link w:val="58"/>
    <w:semiHidden/>
    <w:unhideWhenUsed/>
    <w:qFormat/>
    <w:uiPriority w:val="99"/>
    <w:pPr>
      <w:jc w:val="left"/>
    </w:pPr>
  </w:style>
  <w:style w:type="paragraph" w:styleId="12">
    <w:name w:val="Body Text"/>
    <w:basedOn w:val="1"/>
    <w:qFormat/>
    <w:uiPriority w:val="0"/>
    <w:pPr>
      <w:spacing w:after="120"/>
    </w:pPr>
    <w:rPr>
      <w:rFonts w:ascii="Arial" w:hAnsi="Arial"/>
    </w:rPr>
  </w:style>
  <w:style w:type="paragraph" w:styleId="13">
    <w:name w:val="toc 3"/>
    <w:basedOn w:val="1"/>
    <w:next w:val="1"/>
    <w:unhideWhenUsed/>
    <w:qFormat/>
    <w:uiPriority w:val="99"/>
    <w:pPr>
      <w:adjustRightInd w:val="0"/>
      <w:ind w:left="1282" w:leftChars="400" w:hanging="442" w:hangingChars="200"/>
    </w:pPr>
    <w:rPr>
      <w:b/>
      <w:i/>
      <w:sz w:val="20"/>
    </w:rPr>
  </w:style>
  <w:style w:type="paragraph" w:styleId="14">
    <w:name w:val="Balloon Text"/>
    <w:basedOn w:val="1"/>
    <w:link w:val="56"/>
    <w:semiHidden/>
    <w:unhideWhenUsed/>
    <w:qFormat/>
    <w:uiPriority w:val="99"/>
    <w:rPr>
      <w:sz w:val="18"/>
      <w:szCs w:val="18"/>
    </w:rPr>
  </w:style>
  <w:style w:type="paragraph" w:styleId="15">
    <w:name w:val="footer"/>
    <w:basedOn w:val="1"/>
    <w:link w:val="76"/>
    <w:unhideWhenUsed/>
    <w:qFormat/>
    <w:uiPriority w:val="99"/>
    <w:pPr>
      <w:tabs>
        <w:tab w:val="center" w:pos="4153"/>
        <w:tab w:val="right" w:pos="8306"/>
      </w:tabs>
      <w:snapToGrid w:val="0"/>
      <w:jc w:val="left"/>
    </w:pPr>
    <w:rPr>
      <w:sz w:val="18"/>
      <w:szCs w:val="18"/>
    </w:rPr>
  </w:style>
  <w:style w:type="paragraph" w:styleId="16">
    <w:name w:val="header"/>
    <w:basedOn w:val="1"/>
    <w:link w:val="57"/>
    <w:semiHidden/>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tabs>
        <w:tab w:val="right" w:pos="420"/>
      </w:tabs>
      <w:ind w:left="862" w:leftChars="200" w:hanging="442" w:hangingChars="200"/>
      <w:jc w:val="left"/>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59"/>
    <w:semiHidden/>
    <w:unhideWhenUsed/>
    <w:qFormat/>
    <w:uiPriority w:val="99"/>
    <w:pPr>
      <w:jc w:val="both"/>
    </w:pPr>
    <w:rPr>
      <w:b/>
      <w:bCs/>
      <w:sz w:val="20"/>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qFormat/>
    <w:uiPriority w:val="99"/>
    <w:rPr>
      <w:b/>
    </w:rPr>
  </w:style>
  <w:style w:type="character" w:styleId="26">
    <w:name w:val="FollowedHyperlink"/>
    <w:basedOn w:val="24"/>
    <w:semiHidden/>
    <w:unhideWhenUsed/>
    <w:qFormat/>
    <w:uiPriority w:val="99"/>
    <w:rPr>
      <w:color w:val="666666"/>
      <w:u w:val="none"/>
    </w:rPr>
  </w:style>
  <w:style w:type="character" w:styleId="27">
    <w:name w:val="Emphasis"/>
    <w:basedOn w:val="24"/>
    <w:qFormat/>
    <w:uiPriority w:val="99"/>
    <w:rPr>
      <w:rFonts w:ascii="Arial" w:hAnsi="Arial" w:cs="Arial"/>
    </w:rPr>
  </w:style>
  <w:style w:type="character" w:styleId="28">
    <w:name w:val="HTML Definition"/>
    <w:basedOn w:val="24"/>
    <w:semiHidden/>
    <w:unhideWhenUsed/>
    <w:qFormat/>
    <w:uiPriority w:val="99"/>
  </w:style>
  <w:style w:type="character" w:styleId="29">
    <w:name w:val="HTML Acronym"/>
    <w:basedOn w:val="24"/>
    <w:semiHidden/>
    <w:unhideWhenUsed/>
    <w:qFormat/>
    <w:uiPriority w:val="99"/>
  </w:style>
  <w:style w:type="character" w:styleId="30">
    <w:name w:val="HTML Variable"/>
    <w:basedOn w:val="24"/>
    <w:semiHidden/>
    <w:unhideWhenUsed/>
    <w:qFormat/>
    <w:uiPriority w:val="99"/>
  </w:style>
  <w:style w:type="character" w:styleId="31">
    <w:name w:val="Hyperlink"/>
    <w:basedOn w:val="24"/>
    <w:qFormat/>
    <w:uiPriority w:val="99"/>
    <w:rPr>
      <w:color w:val="666666"/>
      <w:u w:val="none"/>
    </w:rPr>
  </w:style>
  <w:style w:type="character" w:styleId="32">
    <w:name w:val="HTML Code"/>
    <w:basedOn w:val="24"/>
    <w:semiHidden/>
    <w:unhideWhenUsed/>
    <w:qFormat/>
    <w:uiPriority w:val="99"/>
    <w:rPr>
      <w:rFonts w:ascii="Courier New" w:hAnsi="Courier New"/>
      <w:sz w:val="20"/>
    </w:rPr>
  </w:style>
  <w:style w:type="character" w:styleId="33">
    <w:name w:val="annotation reference"/>
    <w:qFormat/>
    <w:uiPriority w:val="99"/>
    <w:rPr>
      <w:sz w:val="16"/>
    </w:rPr>
  </w:style>
  <w:style w:type="character" w:styleId="34">
    <w:name w:val="HTML Cite"/>
    <w:basedOn w:val="24"/>
    <w:semiHidden/>
    <w:unhideWhenUsed/>
    <w:qFormat/>
    <w:uiPriority w:val="99"/>
  </w:style>
  <w:style w:type="paragraph" w:customStyle="1" w:styleId="35">
    <w:name w:val="YJ-Observation"/>
    <w:basedOn w:val="36"/>
    <w:qFormat/>
    <w:uiPriority w:val="0"/>
    <w:pPr>
      <w:numPr>
        <w:ilvl w:val="0"/>
        <w:numId w:val="3"/>
      </w:numPr>
      <w:tabs>
        <w:tab w:val="left" w:pos="420"/>
      </w:tabs>
    </w:pPr>
  </w:style>
  <w:style w:type="paragraph" w:customStyle="1" w:styleId="36">
    <w:name w:val="YJ-Proposal"/>
    <w:basedOn w:val="1"/>
    <w:qFormat/>
    <w:uiPriority w:val="0"/>
    <w:pPr>
      <w:numPr>
        <w:ilvl w:val="0"/>
        <w:numId w:val="4"/>
      </w:numPr>
      <w:jc w:val="left"/>
    </w:pPr>
    <w:rPr>
      <w:rFonts w:eastAsiaTheme="minorEastAsia"/>
      <w:b/>
      <w:bCs/>
      <w:i/>
      <w:iCs/>
      <w:sz w:val="20"/>
      <w:lang w:val="en-GB" w:eastAsia="en-US"/>
    </w:rPr>
  </w:style>
  <w:style w:type="paragraph" w:customStyle="1" w:styleId="37">
    <w:name w:val="YJ--正文"/>
    <w:basedOn w:val="1"/>
    <w:qFormat/>
    <w:uiPriority w:val="0"/>
    <w:pPr>
      <w:ind w:firstLine="1440" w:firstLineChars="200"/>
    </w:pPr>
    <w:rPr>
      <w:rFonts w:eastAsia="Times New Roman" w:cs="宋体"/>
    </w:rPr>
  </w:style>
  <w:style w:type="paragraph" w:customStyle="1" w:styleId="38">
    <w:name w:val="sub-proposal"/>
    <w:basedOn w:val="36"/>
    <w:next w:val="1"/>
    <w:qFormat/>
    <w:uiPriority w:val="0"/>
    <w:pPr>
      <w:numPr>
        <w:numId w:val="5"/>
      </w:numPr>
      <w:tabs>
        <w:tab w:val="left" w:pos="420"/>
        <w:tab w:val="left" w:pos="807"/>
      </w:tabs>
      <w:ind w:left="862" w:leftChars="200" w:hanging="442" w:hangingChars="200"/>
    </w:pPr>
  </w:style>
  <w:style w:type="paragraph" w:customStyle="1" w:styleId="39">
    <w:name w:val="sub-observation"/>
    <w:basedOn w:val="38"/>
    <w:next w:val="1"/>
    <w:qFormat/>
    <w:uiPriority w:val="0"/>
  </w:style>
  <w:style w:type="paragraph" w:customStyle="1" w:styleId="40">
    <w:name w:val="3rd level proposal"/>
    <w:basedOn w:val="38"/>
    <w:next w:val="1"/>
    <w:qFormat/>
    <w:uiPriority w:val="0"/>
    <w:pPr>
      <w:numPr>
        <w:ilvl w:val="0"/>
        <w:numId w:val="6"/>
      </w:numPr>
      <w:ind w:left="1282" w:leftChars="400" w:hanging="442"/>
    </w:pPr>
  </w:style>
  <w:style w:type="paragraph" w:customStyle="1" w:styleId="41">
    <w:name w:val="3rd level observation"/>
    <w:basedOn w:val="39"/>
    <w:qFormat/>
    <w:uiPriority w:val="0"/>
    <w:pPr>
      <w:numPr>
        <w:ilvl w:val="0"/>
        <w:numId w:val="7"/>
      </w:numPr>
      <w:ind w:left="1282" w:leftChars="400" w:hanging="442"/>
    </w:pPr>
  </w:style>
  <w:style w:type="paragraph" w:customStyle="1" w:styleId="42">
    <w:name w:val="References"/>
    <w:basedOn w:val="1"/>
    <w:qFormat/>
    <w:uiPriority w:val="0"/>
    <w:pPr>
      <w:numPr>
        <w:ilvl w:val="0"/>
        <w:numId w:val="8"/>
      </w:numPr>
      <w:spacing w:after="60"/>
    </w:pPr>
    <w:rPr>
      <w:szCs w:val="16"/>
    </w:rPr>
  </w:style>
  <w:style w:type="paragraph" w:styleId="43">
    <w:name w:val="List Paragraph"/>
    <w:basedOn w:val="1"/>
    <w:qFormat/>
    <w:uiPriority w:val="34"/>
    <w:pPr>
      <w:spacing w:beforeLines="0"/>
      <w:ind w:left="720"/>
      <w:contextualSpacing/>
    </w:pPr>
    <w:rPr>
      <w:rFonts w:eastAsia="Times New Roman"/>
      <w:sz w:val="24"/>
      <w:szCs w:val="24"/>
    </w:rPr>
  </w:style>
  <w:style w:type="paragraph" w:customStyle="1" w:styleId="44">
    <w:name w:val="样式1"/>
    <w:basedOn w:val="1"/>
    <w:qFormat/>
    <w:uiPriority w:val="0"/>
  </w:style>
  <w:style w:type="paragraph" w:customStyle="1" w:styleId="45">
    <w:name w:val="样式2"/>
    <w:basedOn w:val="1"/>
    <w:qFormat/>
    <w:uiPriority w:val="0"/>
  </w:style>
  <w:style w:type="paragraph" w:customStyle="1" w:styleId="46">
    <w:name w:val="Style1"/>
    <w:basedOn w:val="1"/>
    <w:qFormat/>
    <w:uiPriority w:val="0"/>
    <w:pPr>
      <w:spacing w:after="100" w:afterAutospacing="1" w:line="300" w:lineRule="auto"/>
      <w:ind w:firstLine="360"/>
      <w:contextualSpacing/>
    </w:pPr>
  </w:style>
  <w:style w:type="character" w:customStyle="1" w:styleId="47">
    <w:name w:val="font21"/>
    <w:basedOn w:val="24"/>
    <w:qFormat/>
    <w:uiPriority w:val="0"/>
    <w:rPr>
      <w:rFonts w:hint="eastAsia" w:ascii="宋体" w:hAnsi="宋体" w:eastAsia="宋体" w:cs="宋体"/>
      <w:color w:val="000000"/>
      <w:sz w:val="20"/>
      <w:szCs w:val="20"/>
      <w:u w:val="none"/>
    </w:rPr>
  </w:style>
  <w:style w:type="character" w:customStyle="1" w:styleId="48">
    <w:name w:val="font11"/>
    <w:basedOn w:val="24"/>
    <w:qFormat/>
    <w:uiPriority w:val="0"/>
    <w:rPr>
      <w:rFonts w:hint="default" w:ascii="Times New Roman" w:hAnsi="Times New Roman" w:cs="Times New Roman"/>
      <w:color w:val="000000"/>
      <w:sz w:val="21"/>
      <w:szCs w:val="21"/>
      <w:u w:val="none"/>
    </w:rPr>
  </w:style>
  <w:style w:type="character" w:customStyle="1" w:styleId="49">
    <w:name w:val="font01"/>
    <w:basedOn w:val="24"/>
    <w:qFormat/>
    <w:uiPriority w:val="0"/>
    <w:rPr>
      <w:rFonts w:hint="default" w:ascii="Times New Roman" w:hAnsi="Times New Roman" w:cs="Times New Roman"/>
      <w:color w:val="000000"/>
      <w:sz w:val="20"/>
      <w:szCs w:val="20"/>
      <w:u w:val="none"/>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szCs w:val="22"/>
      <w:lang w:val="en-US" w:eastAsia="zh-CN" w:bidi="ar-SA"/>
    </w:rPr>
  </w:style>
  <w:style w:type="paragraph" w:customStyle="1" w:styleId="51">
    <w:name w:val="B1"/>
    <w:basedOn w:val="8"/>
    <w:qFormat/>
    <w:uiPriority w:val="0"/>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pPr>
    <w:rPr>
      <w:rFonts w:ascii="Arial" w:hAnsi="Arial"/>
      <w:sz w:val="18"/>
    </w:rPr>
  </w:style>
  <w:style w:type="character" w:customStyle="1" w:styleId="56">
    <w:name w:val="批注框文本 Char"/>
    <w:basedOn w:val="24"/>
    <w:link w:val="14"/>
    <w:semiHidden/>
    <w:qFormat/>
    <w:uiPriority w:val="99"/>
    <w:rPr>
      <w:kern w:val="2"/>
      <w:sz w:val="18"/>
      <w:szCs w:val="18"/>
    </w:rPr>
  </w:style>
  <w:style w:type="character" w:customStyle="1" w:styleId="57">
    <w:name w:val="页眉 Char"/>
    <w:basedOn w:val="24"/>
    <w:link w:val="16"/>
    <w:semiHidden/>
    <w:qFormat/>
    <w:uiPriority w:val="0"/>
    <w:rPr>
      <w:kern w:val="2"/>
      <w:sz w:val="18"/>
      <w:szCs w:val="18"/>
    </w:rPr>
  </w:style>
  <w:style w:type="character" w:customStyle="1" w:styleId="58">
    <w:name w:val="批注文字 Char"/>
    <w:basedOn w:val="24"/>
    <w:link w:val="11"/>
    <w:semiHidden/>
    <w:qFormat/>
    <w:uiPriority w:val="99"/>
    <w:rPr>
      <w:kern w:val="2"/>
      <w:sz w:val="21"/>
    </w:rPr>
  </w:style>
  <w:style w:type="character" w:customStyle="1" w:styleId="59">
    <w:name w:val="批注主题 Char"/>
    <w:basedOn w:val="58"/>
    <w:link w:val="21"/>
    <w:semiHidden/>
    <w:qFormat/>
    <w:uiPriority w:val="99"/>
    <w:rPr>
      <w:b/>
      <w:bCs/>
      <w:kern w:val="2"/>
      <w:sz w:val="21"/>
    </w:rPr>
  </w:style>
  <w:style w:type="character" w:customStyle="1" w:styleId="60">
    <w:name w:val="fontstyle01"/>
    <w:basedOn w:val="24"/>
    <w:qFormat/>
    <w:uiPriority w:val="0"/>
    <w:rPr>
      <w:rFonts w:hint="default" w:ascii="Times New Roman" w:hAnsi="Times New Roman" w:cs="Times New Roman"/>
      <w:color w:val="000000"/>
      <w:sz w:val="20"/>
      <w:szCs w:val="20"/>
    </w:rPr>
  </w:style>
  <w:style w:type="paragraph" w:customStyle="1" w:styleId="61">
    <w:name w:val="B2"/>
    <w:basedOn w:val="7"/>
    <w:qFormat/>
    <w:uiPriority w:val="0"/>
  </w:style>
  <w:style w:type="paragraph" w:customStyle="1" w:styleId="62">
    <w:name w:val="B3"/>
    <w:basedOn w:val="6"/>
    <w:qFormat/>
    <w:uiPriority w:val="0"/>
  </w:style>
  <w:style w:type="character" w:styleId="63">
    <w:name w:val="Placeholder Text"/>
    <w:basedOn w:val="24"/>
    <w:semiHidden/>
    <w:qFormat/>
    <w:uiPriority w:val="99"/>
    <w:rPr>
      <w:color w:val="808080"/>
    </w:rPr>
  </w:style>
  <w:style w:type="paragraph" w:customStyle="1" w:styleId="64">
    <w:name w:val="List Paragraph1"/>
    <w:basedOn w:val="1"/>
    <w:qFormat/>
    <w:uiPriority w:val="0"/>
    <w:pPr>
      <w:spacing w:before="100" w:beforeAutospacing="1" w:after="180"/>
      <w:ind w:left="720"/>
      <w:contextualSpacing/>
      <w:jc w:val="left"/>
    </w:pPr>
    <w:rPr>
      <w:rFonts w:eastAsia="MS Mincho"/>
      <w:kern w:val="0"/>
      <w:sz w:val="24"/>
      <w:szCs w:val="24"/>
    </w:rPr>
  </w:style>
  <w:style w:type="character" w:customStyle="1" w:styleId="65">
    <w:name w:val="16"/>
    <w:basedOn w:val="24"/>
    <w:qFormat/>
    <w:uiPriority w:val="0"/>
    <w:rPr>
      <w:rFonts w:hint="default" w:ascii="Times New Roman" w:hAnsi="Times New Roman" w:cs="Times New Roman"/>
      <w:b/>
      <w:bCs/>
    </w:rPr>
  </w:style>
  <w:style w:type="character" w:customStyle="1" w:styleId="66">
    <w:name w:val="文档结构图 Char"/>
    <w:basedOn w:val="24"/>
    <w:link w:val="10"/>
    <w:semiHidden/>
    <w:qFormat/>
    <w:uiPriority w:val="99"/>
    <w:rPr>
      <w:rFonts w:ascii="宋体" w:hAnsi="Times New Roman" w:eastAsia="宋体" w:cs="Times New Roman"/>
      <w:kern w:val="2"/>
      <w:sz w:val="18"/>
      <w:szCs w:val="18"/>
    </w:rPr>
  </w:style>
  <w:style w:type="paragraph" w:customStyle="1" w:styleId="67">
    <w:name w:val="列出段落1"/>
    <w:basedOn w:val="1"/>
    <w:qFormat/>
    <w:uiPriority w:val="34"/>
    <w:pPr>
      <w:ind w:firstLine="420" w:firstLineChars="200"/>
    </w:pPr>
  </w:style>
  <w:style w:type="paragraph" w:customStyle="1" w:styleId="68">
    <w:name w:val="EQ"/>
    <w:basedOn w:val="1"/>
    <w:next w:val="1"/>
    <w:qFormat/>
    <w:uiPriority w:val="0"/>
    <w:pPr>
      <w:keepLines/>
      <w:tabs>
        <w:tab w:val="center" w:pos="4536"/>
        <w:tab w:val="right" w:pos="9072"/>
      </w:tabs>
    </w:pPr>
  </w:style>
  <w:style w:type="paragraph" w:customStyle="1" w:styleId="69">
    <w:name w:val="TAN"/>
    <w:basedOn w:val="55"/>
    <w:qFormat/>
    <w:uiPriority w:val="0"/>
    <w:pPr>
      <w:ind w:left="851" w:hanging="851"/>
    </w:pPr>
  </w:style>
  <w:style w:type="paragraph" w:customStyle="1" w:styleId="70">
    <w:name w:val="YJ-项目二级"/>
    <w:basedOn w:val="43"/>
    <w:qFormat/>
    <w:uiPriority w:val="0"/>
    <w:pPr>
      <w:numPr>
        <w:ilvl w:val="0"/>
        <w:numId w:val="9"/>
      </w:numPr>
      <w:ind w:left="1860" w:leftChars="200" w:hanging="1440" w:hangingChars="200"/>
    </w:pPr>
  </w:style>
  <w:style w:type="paragraph" w:customStyle="1" w:styleId="71">
    <w:name w:val="YJ-项目三级"/>
    <w:basedOn w:val="1"/>
    <w:next w:val="37"/>
    <w:qFormat/>
    <w:uiPriority w:val="0"/>
    <w:pPr>
      <w:numPr>
        <w:ilvl w:val="0"/>
        <w:numId w:val="10"/>
      </w:numPr>
      <w:spacing w:before="50" w:after="100"/>
      <w:ind w:left="1350" w:leftChars="300" w:hanging="720" w:hangingChars="100"/>
      <w:textAlignment w:val="center"/>
    </w:pPr>
    <w:rPr>
      <w:rFonts w:cs="宋体"/>
    </w:rPr>
  </w:style>
  <w:style w:type="paragraph" w:customStyle="1" w:styleId="72">
    <w:name w:val="YJ-项目四级"/>
    <w:basedOn w:val="1"/>
    <w:next w:val="37"/>
    <w:qFormat/>
    <w:uiPriority w:val="0"/>
    <w:pPr>
      <w:numPr>
        <w:ilvl w:val="0"/>
        <w:numId w:val="11"/>
      </w:numPr>
      <w:spacing w:before="50" w:after="100"/>
      <w:ind w:left="600" w:leftChars="400" w:hanging="200" w:hangingChars="200"/>
    </w:pPr>
    <w:rPr>
      <w:rFonts w:cs="宋体"/>
    </w:rPr>
  </w:style>
  <w:style w:type="paragraph" w:customStyle="1" w:styleId="73">
    <w:name w:val="3GPP H1"/>
    <w:basedOn w:val="2"/>
    <w:next w:val="74"/>
    <w:qFormat/>
    <w:uiPriority w:val="0"/>
    <w:pPr>
      <w:overflowPunct w:val="0"/>
      <w:autoSpaceDE w:val="0"/>
      <w:autoSpaceDN w:val="0"/>
      <w:adjustRightInd w:val="0"/>
      <w:spacing w:after="120"/>
      <w:textAlignment w:val="baseline"/>
    </w:pPr>
    <w:rPr>
      <w:rFonts w:eastAsia="宋体"/>
      <w:kern w:val="0"/>
      <w:sz w:val="36"/>
      <w:lang w:eastAsia="en-US"/>
    </w:rPr>
  </w:style>
  <w:style w:type="paragraph" w:customStyle="1" w:styleId="74">
    <w:name w:val="3GPP Text"/>
    <w:basedOn w:val="1"/>
    <w:qFormat/>
    <w:uiPriority w:val="0"/>
    <w:pPr>
      <w:overflowPunct w:val="0"/>
      <w:autoSpaceDE w:val="0"/>
      <w:autoSpaceDN w:val="0"/>
      <w:adjustRightInd w:val="0"/>
      <w:spacing w:before="120" w:after="120"/>
      <w:textAlignment w:val="baseline"/>
    </w:pPr>
    <w:rPr>
      <w:sz w:val="22"/>
    </w:rPr>
  </w:style>
  <w:style w:type="paragraph" w:customStyle="1" w:styleId="75">
    <w:name w:val="3GPP Agreements"/>
    <w:basedOn w:val="1"/>
    <w:qFormat/>
    <w:uiPriority w:val="0"/>
    <w:pPr>
      <w:numPr>
        <w:ilvl w:val="0"/>
        <w:numId w:val="12"/>
      </w:numPr>
      <w:overflowPunct w:val="0"/>
      <w:autoSpaceDE w:val="0"/>
      <w:autoSpaceDN w:val="0"/>
      <w:adjustRightInd w:val="0"/>
      <w:spacing w:before="60" w:after="60"/>
      <w:textAlignment w:val="baseline"/>
    </w:pPr>
    <w:rPr>
      <w:sz w:val="22"/>
    </w:rPr>
  </w:style>
  <w:style w:type="character" w:customStyle="1" w:styleId="76">
    <w:name w:val="页脚 Char"/>
    <w:basedOn w:val="24"/>
    <w:link w:val="15"/>
    <w:qFormat/>
    <w:uiPriority w:val="99"/>
    <w:rPr>
      <w:rFonts w:ascii="Times New Roman" w:hAnsi="Times New Roman" w:eastAsia="宋体" w:cs="Times New Roman"/>
      <w:kern w:val="2"/>
      <w:sz w:val="18"/>
      <w:szCs w:val="18"/>
    </w:rPr>
  </w:style>
  <w:style w:type="character" w:customStyle="1" w:styleId="77">
    <w:name w:val="标题 3 Char"/>
    <w:basedOn w:val="24"/>
    <w:link w:val="4"/>
    <w:qFormat/>
    <w:uiPriority w:val="0"/>
    <w:rPr>
      <w:rFonts w:ascii="Arial" w:hAnsi="Arial" w:eastAsia="MS Mincho" w:cs="Times New Roman"/>
      <w:kern w:val="2"/>
      <w:sz w:val="24"/>
    </w:rPr>
  </w:style>
  <w:style w:type="character" w:customStyle="1" w:styleId="78">
    <w:name w:val="标题 2 Char"/>
    <w:basedOn w:val="24"/>
    <w:link w:val="3"/>
    <w:qFormat/>
    <w:uiPriority w:val="0"/>
    <w:rPr>
      <w:rFonts w:ascii="Arial" w:hAnsi="Arial" w:eastAsia="MS Mincho" w:cs="Times New Roman"/>
      <w:kern w:val="2"/>
      <w:sz w:val="28"/>
    </w:rPr>
  </w:style>
  <w:style w:type="paragraph" w:customStyle="1" w:styleId="79">
    <w:name w:val="main text"/>
    <w:basedOn w:val="1"/>
    <w:qFormat/>
    <w:uiPriority w:val="0"/>
    <w:pPr>
      <w:spacing w:before="60" w:after="60" w:line="288" w:lineRule="auto"/>
      <w:ind w:firstLine="200" w:firstLineChars="200"/>
    </w:pPr>
    <w:rPr>
      <w:rFonts w:cs="Batang"/>
      <w:lang w:eastAsia="ko-KR"/>
    </w:rPr>
  </w:style>
  <w:style w:type="paragraph" w:customStyle="1" w:styleId="80">
    <w:name w:val="스타일 목록 단락 + 양쪽 앞: 6 pt 단락 뒤: 6 pt 줄 간격: 배수 1.2 줄 왼쪽 0 글자"/>
    <w:basedOn w:val="43"/>
    <w:qFormat/>
    <w:uiPriority w:val="0"/>
    <w:pPr>
      <w:spacing w:before="120" w:after="120" w:line="336" w:lineRule="auto"/>
      <w:ind w:left="0"/>
    </w:pPr>
    <w:rPr>
      <w:rFonts w:cs="Batang"/>
    </w:rPr>
  </w:style>
  <w:style w:type="character" w:customStyle="1" w:styleId="81">
    <w:name w:val="focus"/>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3.bin"/><Relationship Id="rId14" Type="http://schemas.openxmlformats.org/officeDocument/2006/relationships/image" Target="media/image3.png"/><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720AC-F4C9-4366-8B67-1D2DB45B13A1}">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6</Pages>
  <Words>2366</Words>
  <Characters>11911</Characters>
  <Lines>88</Lines>
  <Paragraphs>24</Paragraphs>
  <TotalTime>21</TotalTime>
  <ScaleCrop>false</ScaleCrop>
  <LinksUpToDate>false</LinksUpToDate>
  <CharactersWithSpaces>14103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2020-04-08T01:19:00Z</dcterms:created>
  <dc:creator>ZTE</dc:creator>
  <cp:lastModifiedBy>ZTE - Boyuan</cp:lastModifiedBy>
  <dcterms:modified xsi:type="dcterms:W3CDTF">2020-10-16T08:35:40Z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